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cs="Arial"/>
          <w:b/>
          <w:i/>
          <w:sz w:val="24"/>
          <w:szCs w:val="24"/>
          <w:lang w:val="en-US" w:eastAsia="zh-CN"/>
        </w:rPr>
      </w:pPr>
      <w:r>
        <w:rPr>
          <w:rFonts w:cs="Arial"/>
          <w:b/>
          <w:sz w:val="24"/>
          <w:szCs w:val="24"/>
        </w:rPr>
        <w:t>3GPP TSG-CT WG1 Meeting #144</w:t>
      </w:r>
      <w:r>
        <w:rPr>
          <w:rFonts w:cs="Arial"/>
          <w:b/>
          <w:i/>
          <w:sz w:val="24"/>
          <w:szCs w:val="24"/>
        </w:rPr>
        <w:tab/>
      </w:r>
      <w:r>
        <w:rPr>
          <w:rFonts w:hint="eastAsia" w:cs="Arial"/>
          <w:b/>
          <w:sz w:val="24"/>
          <w:szCs w:val="24"/>
        </w:rPr>
        <w:t>C1-23</w:t>
      </w:r>
      <w:r>
        <w:rPr>
          <w:rFonts w:hint="eastAsia" w:eastAsia="宋体" w:cs="Arial"/>
          <w:b/>
          <w:sz w:val="24"/>
          <w:szCs w:val="24"/>
          <w:lang w:val="en-US" w:eastAsia="zh-CN"/>
        </w:rPr>
        <w:t>8200</w:t>
      </w:r>
    </w:p>
    <w:p>
      <w:pPr>
        <w:pStyle w:val="81"/>
        <w:outlineLvl w:val="0"/>
        <w:rPr>
          <w:b/>
          <w:sz w:val="24"/>
        </w:rPr>
      </w:pPr>
      <w:r>
        <w:rPr>
          <w:rFonts w:cs="Arial"/>
          <w:b/>
          <w:sz w:val="24"/>
          <w:szCs w:val="24"/>
        </w:rPr>
        <w:t>Xiamen, China, 09– 13 October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24.5</w:t>
            </w:r>
            <w:r>
              <w:rPr>
                <w:rFonts w:hint="eastAsia"/>
                <w:b/>
                <w:sz w:val="28"/>
                <w:lang w:val="en-US" w:eastAsia="zh-CN"/>
              </w:rPr>
              <w:t>3</w:t>
            </w:r>
            <w:r>
              <w:rPr>
                <w:rFonts w:hint="eastAsia"/>
                <w:b/>
                <w:sz w:val="28"/>
                <w:lang w:eastAsia="zh-CN"/>
              </w:rPr>
              <w:fldChar w:fldCharType="end"/>
            </w:r>
            <w:r>
              <w:rPr>
                <w:rFonts w:hint="eastAsia"/>
                <w:b/>
                <w:sz w:val="28"/>
                <w:lang w:val="en-US" w:eastAsia="zh-CN"/>
              </w:rPr>
              <w:t>8</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eastAsia"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007</w:t>
            </w:r>
            <w:r>
              <w:rPr>
                <w:b/>
                <w:sz w:val="28"/>
              </w:rPr>
              <w:fldChar w:fldCharType="end"/>
            </w:r>
            <w:r>
              <w:rPr>
                <w:rFonts w:hint="eastAsia" w:eastAsia="宋体"/>
                <w:b/>
                <w:sz w:val="28"/>
                <w:lang w:val="en-US" w:eastAsia="zh-CN"/>
              </w:rPr>
              <w:t>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b/>
                <w:sz w:val="28"/>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P</w:t>
            </w:r>
            <w:r>
              <w:rPr>
                <w:rFonts w:hint="default" w:eastAsia="宋体"/>
                <w:lang w:val="en-US" w:eastAsia="zh-CN"/>
              </w:rPr>
              <w:t>ort numbers and associated protocol in triggering information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rPr>
                <w:rFonts w:hint="default" w:eastAsia="宋体"/>
                <w:lang w:val="en-US"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rPr>
                <w:rFonts w:hint="default" w:eastAsia="宋体"/>
                <w:lang w:val="en-US" w:eastAsia="zh-CN"/>
              </w:rPr>
            </w:pPr>
            <w:r>
              <w:rPr>
                <w:rFonts w:hint="eastAsia" w:eastAsia="宋体"/>
                <w:lang w:val="en-US"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2023-0</w:t>
            </w:r>
            <w:r>
              <w:rPr>
                <w:rFonts w:hint="eastAsia"/>
                <w:lang w:val="en-US" w:eastAsia="zh-CN"/>
              </w:rPr>
              <w:t>9</w:t>
            </w:r>
            <w:r>
              <w:rPr>
                <w:rFonts w:hint="eastAsia"/>
                <w:lang w:eastAsia="zh-CN"/>
              </w:rP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2289"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In TS23.554, the "List of port numbers" and "associated protocol" are included in the MSGin5G Client Ports IE, but these IEs are not specified in stage 3. Adding these new IEs directly to Rel-17 would cause a backward compatibility issues. To avoid this, these new IEs will be added to Rel-18, but the name of </w:t>
            </w:r>
            <w:bookmarkStart w:id="1" w:name="OLE_LINK3"/>
            <w:r>
              <w:t>"MSGin5G Client Port</w:t>
            </w:r>
            <w:r>
              <w:rPr>
                <w:rFonts w:hint="eastAsia" w:eastAsia="宋体"/>
                <w:lang w:val="en-US" w:eastAsia="zh-CN"/>
              </w:rPr>
              <w:t>s</w:t>
            </w:r>
            <w:r>
              <w:t>"</w:t>
            </w:r>
            <w:r>
              <w:rPr>
                <w:rFonts w:hint="eastAsia" w:eastAsia="宋体"/>
                <w:lang w:val="en-US" w:eastAsia="zh-CN"/>
              </w:rPr>
              <w:t xml:space="preserve"> element</w:t>
            </w:r>
            <w:bookmarkEnd w:id="1"/>
            <w:r>
              <w:rPr>
                <w:rFonts w:hint="eastAsia" w:eastAsia="宋体"/>
                <w:lang w:val="en-US" w:eastAsia="zh-CN"/>
              </w:rPr>
              <w:t xml:space="preserve"> in Rel-17 and Rel-18 both need to be revised to make them more accurate and ensure that they do not cause any conflicts.</w:t>
            </w:r>
          </w:p>
          <w:p>
            <w:pPr>
              <w:pStyle w:val="81"/>
              <w:spacing w:after="0"/>
              <w:ind w:left="100"/>
              <w:rPr>
                <w:rFonts w:hint="default" w:eastAsia="宋体"/>
                <w:lang w:val="en-US" w:eastAsia="zh-CN"/>
              </w:rPr>
            </w:pPr>
          </w:p>
          <w:p>
            <w:pPr>
              <w:pStyle w:val="81"/>
              <w:spacing w:after="0"/>
              <w:ind w:left="100"/>
              <w:rPr>
                <w:b/>
                <w:bCs/>
              </w:rPr>
            </w:pPr>
            <w:r>
              <w:rPr>
                <w:b/>
                <w:bCs/>
              </w:rPr>
              <w:t>Backward compatibility analysis:</w:t>
            </w:r>
          </w:p>
          <w:p>
            <w:pPr>
              <w:pStyle w:val="81"/>
              <w:keepNext w:val="0"/>
              <w:keepLines w:val="0"/>
              <w:pageBreakBefore w:val="0"/>
              <w:widowControl/>
              <w:kinsoku/>
              <w:wordWrap/>
              <w:overflowPunct/>
              <w:topLinePunct w:val="0"/>
              <w:autoSpaceDE/>
              <w:autoSpaceDN/>
              <w:bidi w:val="0"/>
              <w:adjustRightInd/>
              <w:snapToGrid/>
              <w:spacing w:after="0"/>
              <w:ind w:left="102" w:leftChars="0"/>
              <w:textAlignment w:val="auto"/>
              <w:rPr>
                <w:rFonts w:hint="default"/>
                <w:lang w:val="en-US"/>
              </w:rPr>
            </w:pPr>
            <w:r>
              <w:rPr>
                <w:rFonts w:hint="eastAsia" w:eastAsia="宋体"/>
                <w:lang w:val="en-US" w:eastAsia="zh-CN"/>
              </w:rPr>
              <w:t>This CR is backward compatible. Only changing the description in the schema will not cause backward compatibility issues.</w:t>
            </w:r>
            <w:bookmarkStart w:id="12" w:name="_GoBack"/>
            <w:bookmarkEnd w:id="12"/>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rFonts w:hint="eastAsia" w:eastAsia="宋体"/>
                <w:b/>
                <w:i/>
                <w:sz w:val="8"/>
                <w:szCs w:val="8"/>
                <w:lang w:val="en-US" w:eastAsia="zh-CN"/>
              </w:rPr>
            </w:pPr>
            <w:r>
              <w:rPr>
                <w:rFonts w:hint="eastAsia" w:eastAsia="宋体"/>
                <w:b/>
                <w:i/>
                <w:sz w:val="8"/>
                <w:szCs w:val="8"/>
                <w:lang w:val="en-US" w:eastAsia="zh-CN"/>
              </w:rPr>
              <w:t xml:space="preserve"> </w:t>
            </w: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 xml:space="preserve">Revise the name of </w:t>
            </w:r>
            <w:r>
              <w:t>"MSGin5G Client Port</w:t>
            </w:r>
            <w:r>
              <w:rPr>
                <w:rFonts w:hint="eastAsia" w:eastAsia="宋体"/>
                <w:lang w:val="en-US" w:eastAsia="zh-CN"/>
              </w:rPr>
              <w:t>s</w:t>
            </w:r>
            <w:r>
              <w:t>"</w:t>
            </w:r>
            <w:r>
              <w:rPr>
                <w:rFonts w:hint="eastAsia" w:eastAsia="宋体"/>
                <w:lang w:val="en-US" w:eastAsia="zh-CN"/>
              </w:rPr>
              <w:t xml:space="preserve"> element.</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 name of </w:t>
            </w:r>
            <w:r>
              <w:t>"MSGin5G Client Port</w:t>
            </w:r>
            <w:r>
              <w:rPr>
                <w:rFonts w:hint="eastAsia" w:eastAsia="宋体"/>
                <w:lang w:val="en-US" w:eastAsia="zh-CN"/>
              </w:rPr>
              <w:t>s</w:t>
            </w:r>
            <w:r>
              <w:t>"</w:t>
            </w:r>
            <w:r>
              <w:rPr>
                <w:rFonts w:hint="eastAsia" w:eastAsia="宋体"/>
                <w:lang w:val="en-US" w:eastAsia="zh-CN"/>
              </w:rPr>
              <w:t xml:space="preserve"> element will not be revised, and this will result in conflicts.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6.3.1.1.1, 6.3.4.2.1, 7.3.3.1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Compared to the mirror CR, there is a new change in 6.3.4.2.1 </w:t>
            </w:r>
            <w:r>
              <w:rPr>
                <w:lang w:eastAsia="zh-CN"/>
              </w:rPr>
              <w:t>Registration intiated by</w:t>
            </w:r>
            <w:r>
              <w:rPr>
                <w:rFonts w:hint="eastAsia"/>
                <w:lang w:eastAsia="zh-CN"/>
              </w:rPr>
              <w:t xml:space="preserve"> </w:t>
            </w:r>
            <w:r>
              <w:rPr>
                <w:lang w:val="en-US" w:eastAsia="zh-CN"/>
              </w:rPr>
              <w:t>Constrained</w:t>
            </w:r>
            <w:r>
              <w:rPr>
                <w:rFonts w:hint="eastAsia"/>
                <w:lang w:val="en-US" w:eastAsia="zh-CN"/>
              </w:rPr>
              <w:t xml:space="preserve"> UE,</w:t>
            </w:r>
            <w:r>
              <w:rPr>
                <w:rFonts w:hint="eastAsia" w:eastAsia="宋体"/>
                <w:lang w:val="en-US" w:eastAsia="zh-CN"/>
              </w:rPr>
              <w:t xml:space="preserve"> as the name of </w:t>
            </w:r>
            <w:r>
              <w:t>"MSGin5G Client Port</w:t>
            </w:r>
            <w:r>
              <w:rPr>
                <w:rFonts w:hint="eastAsia" w:eastAsia="宋体"/>
                <w:lang w:val="en-US" w:eastAsia="zh-CN"/>
              </w:rPr>
              <w:t>s</w:t>
            </w:r>
            <w:r>
              <w:t>"</w:t>
            </w:r>
            <w:r>
              <w:rPr>
                <w:rFonts w:hint="eastAsia" w:eastAsia="宋体"/>
                <w:lang w:val="en-US" w:eastAsia="zh-CN"/>
              </w:rPr>
              <w:t xml:space="preserve"> element in 6.3.4.2.1 </w:t>
            </w:r>
            <w:r>
              <w:rPr>
                <w:lang w:eastAsia="zh-CN"/>
              </w:rPr>
              <w:t>Registration intiated by</w:t>
            </w:r>
            <w:r>
              <w:rPr>
                <w:rFonts w:hint="eastAsia"/>
                <w:lang w:eastAsia="zh-CN"/>
              </w:rPr>
              <w:t xml:space="preserve"> </w:t>
            </w:r>
            <w:r>
              <w:rPr>
                <w:lang w:val="en-US" w:eastAsia="zh-CN"/>
              </w:rPr>
              <w:t>Constrained</w:t>
            </w:r>
            <w:r>
              <w:rPr>
                <w:rFonts w:hint="eastAsia"/>
                <w:lang w:val="en-US" w:eastAsia="zh-CN"/>
              </w:rPr>
              <w:t xml:space="preserve"> UE corresponds to that in 6.3.1.1.1 </w:t>
            </w:r>
            <w:r>
              <w:rPr>
                <w:rFonts w:hint="eastAsia"/>
              </w:rPr>
              <w:t>MSGin5G UE registration</w:t>
            </w:r>
            <w:r>
              <w:rPr>
                <w:rFonts w:hint="eastAsia" w:eastAsia="宋体"/>
                <w:lang w:val="en-US" w:eastAsia="zh-CN"/>
              </w:rPr>
              <w:t xml:space="preserve"> </w:t>
            </w:r>
            <w:r>
              <w:rPr>
                <w:rFonts w:hint="eastAsia"/>
              </w:rPr>
              <w:t>and therefore needs to be changed</w:t>
            </w:r>
            <w:r>
              <w:rPr>
                <w:rFonts w:hint="eastAsia" w:eastAsia="宋体"/>
                <w:lang w:val="en-US" w:eastAsia="zh-CN"/>
              </w:rPr>
              <w:t xml:space="preserve"> </w:t>
            </w:r>
            <w:r>
              <w:rPr>
                <w:rFonts w:hint="eastAsia"/>
              </w:rPr>
              <w:t>together</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6"/>
      </w:pPr>
      <w:bookmarkStart w:id="2" w:name="_Toc86043127"/>
      <w:bookmarkStart w:id="3" w:name="_Toc146749240"/>
      <w:bookmarkStart w:id="4" w:name="_Toc86042570"/>
      <w:bookmarkStart w:id="5" w:name="_Toc97379637"/>
      <w:bookmarkStart w:id="6" w:name="_Toc104710970"/>
      <w:r>
        <w:rPr>
          <w:rFonts w:hint="eastAsia"/>
        </w:rPr>
        <w:t>6.3.1.1.1</w:t>
      </w:r>
      <w:r>
        <w:rPr>
          <w:rFonts w:hint="eastAsia"/>
        </w:rPr>
        <w:tab/>
      </w:r>
      <w:r>
        <w:rPr>
          <w:rFonts w:hint="eastAsia"/>
        </w:rPr>
        <w:t>MSGin5G UE registration</w:t>
      </w:r>
      <w:bookmarkEnd w:id="2"/>
      <w:bookmarkEnd w:id="3"/>
      <w:bookmarkEnd w:id="4"/>
      <w:bookmarkEnd w:id="5"/>
      <w:bookmarkEnd w:id="6"/>
    </w:p>
    <w:p>
      <w:r>
        <w:rPr>
          <w:rFonts w:hint="eastAsia"/>
        </w:rPr>
        <w:t xml:space="preserve">After the UE </w:t>
      </w:r>
      <w:r>
        <w:t>S</w:t>
      </w:r>
      <w:r>
        <w:rPr>
          <w:rFonts w:hint="eastAsia"/>
        </w:rPr>
        <w:t xml:space="preserve">ervice </w:t>
      </w:r>
      <w:r>
        <w:t>ID</w:t>
      </w:r>
      <w:r>
        <w:rPr>
          <w:rFonts w:hint="eastAsia"/>
          <w:lang w:eastAsia="zh-CN"/>
        </w:rPr>
        <w:t xml:space="preserve"> is configured to</w:t>
      </w:r>
      <w:r>
        <w:rPr>
          <w:rFonts w:hint="eastAsia"/>
        </w:rPr>
        <w:t xml:space="preserve"> the MSGin5G </w:t>
      </w:r>
      <w:r>
        <w:t>UE</w:t>
      </w:r>
      <w:r>
        <w:rPr>
          <w:rFonts w:hint="eastAsia"/>
        </w:rPr>
        <w:t xml:space="preserve">, </w:t>
      </w:r>
      <w:r>
        <w:t xml:space="preserve">in order to register MSGin5G UE to the MSGin5G </w:t>
      </w:r>
      <w:r>
        <w:rPr>
          <w:rFonts w:hint="eastAsia"/>
        </w:rPr>
        <w:t>S</w:t>
      </w:r>
      <w:r>
        <w:t xml:space="preserve">erver, </w:t>
      </w:r>
      <w:r>
        <w:rPr>
          <w:rFonts w:hint="eastAsia"/>
        </w:rPr>
        <w:t>the MSGin5G Client</w:t>
      </w:r>
      <w:r>
        <w:t xml:space="preserve"> </w:t>
      </w:r>
      <w:r>
        <w:rPr>
          <w:rFonts w:hint="eastAsia"/>
        </w:rPr>
        <w:t xml:space="preserve">shall send a CoAP POST request to the MSGin5G Server according to procedures specified in IETF RFC 7252 [5]. In </w:t>
      </w:r>
      <w:r>
        <w:rPr>
          <w:rFonts w:hint="eastAsia"/>
          <w:lang w:eastAsia="zh-CN"/>
        </w:rPr>
        <w:t>this</w:t>
      </w:r>
      <w:r>
        <w:rPr>
          <w:rFonts w:hint="eastAsia"/>
        </w:rPr>
        <w:t xml:space="preserve"> CoAP POST request, the MSGin5G Client:</w:t>
      </w:r>
    </w:p>
    <w:p>
      <w:pPr>
        <w:pStyle w:val="75"/>
      </w:pPr>
      <w:r>
        <w:t>a)</w:t>
      </w:r>
      <w:r>
        <w:tab/>
      </w:r>
      <w:r>
        <w:t>shall set the "T" field in the CoAP header to 0 to indicate acknowledge message required;</w:t>
      </w:r>
    </w:p>
    <w:p>
      <w:pPr>
        <w:pStyle w:val="75"/>
      </w:pPr>
      <w:r>
        <w:t>b)</w:t>
      </w:r>
      <w:r>
        <w:tab/>
      </w:r>
      <w:r>
        <w:t xml:space="preserve">shall include the MSGin5G Server address in the Option header of </w:t>
      </w:r>
      <w:r>
        <w:rPr>
          <w:rFonts w:hint="eastAsia"/>
        </w:rPr>
        <w:t xml:space="preserve">the </w:t>
      </w:r>
      <w:r>
        <w:t>CoAP POST request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Pr>
        <w:pStyle w:val="75"/>
      </w:pPr>
      <w:r>
        <w:t>c)</w:t>
      </w:r>
      <w:r>
        <w:tab/>
      </w:r>
      <w:r>
        <w:t xml:space="preserve">shall set the </w:t>
      </w:r>
      <w:r>
        <w:rPr>
          <w:rFonts w:hint="eastAsia"/>
        </w:rPr>
        <w:t>"Content</w:t>
      </w:r>
      <w:r>
        <w:t>-</w:t>
      </w:r>
      <w:r>
        <w:rPr>
          <w:rFonts w:hint="eastAsia"/>
        </w:rPr>
        <w:t>Format" element</w:t>
      </w:r>
      <w:r>
        <w:t xml:space="preserve"> to "50" to indicate the format of the CoAP payload is "application/json";</w:t>
      </w:r>
      <w:r>
        <w:rPr>
          <w:rFonts w:hint="eastAsia"/>
        </w:rPr>
        <w:t xml:space="preserve"> and</w:t>
      </w:r>
    </w:p>
    <w:p>
      <w:pPr>
        <w:pStyle w:val="75"/>
      </w:pPr>
      <w:r>
        <w:t>d)</w:t>
      </w:r>
      <w:r>
        <w:tab/>
      </w:r>
      <w:r>
        <w:t xml:space="preserve">shall include the following information elements in the CoAP payload </w:t>
      </w:r>
      <w:r>
        <w:rPr>
          <w:rFonts w:hint="eastAsia"/>
        </w:rPr>
        <w:t xml:space="preserve">encoded in JSON format as specified in </w:t>
      </w:r>
      <w:r>
        <w:t>clause </w:t>
      </w:r>
      <w:r>
        <w:rPr>
          <w:rFonts w:hint="eastAsia"/>
        </w:rPr>
        <w:t>7.3.3.1</w:t>
      </w:r>
      <w:r>
        <w:t>:</w:t>
      </w:r>
    </w:p>
    <w:p>
      <w:pPr>
        <w:pStyle w:val="76"/>
      </w:pPr>
      <w:r>
        <w:t>1)</w:t>
      </w:r>
      <w:r>
        <w:tab/>
      </w:r>
      <w:r>
        <w:t>the "MSGin5G service identifier" element to indicate that this CoAP POST request is used for MSGin5G service;</w:t>
      </w:r>
    </w:p>
    <w:p>
      <w:pPr>
        <w:pStyle w:val="76"/>
      </w:pPr>
      <w:r>
        <w:rPr>
          <w:rFonts w:hint="eastAsia"/>
        </w:rPr>
        <w:t>2)</w:t>
      </w:r>
      <w:r>
        <w:rPr>
          <w:rFonts w:hint="eastAsia"/>
        </w:rPr>
        <w:tab/>
      </w:r>
      <w:r>
        <w:t>the "Message Type" element with a "</w:t>
      </w:r>
      <w:r>
        <w:rPr>
          <w:rFonts w:hint="eastAsia"/>
        </w:rPr>
        <w:t>REG</w:t>
      </w:r>
      <w:r>
        <w:t>" value to indicate that th</w:t>
      </w:r>
      <w:r>
        <w:rPr>
          <w:rFonts w:hint="eastAsia"/>
        </w:rPr>
        <w:t>is</w:t>
      </w:r>
      <w:r>
        <w:t xml:space="preserve"> CoAP POST request is used for registration;</w:t>
      </w:r>
    </w:p>
    <w:p>
      <w:pPr>
        <w:pStyle w:val="76"/>
      </w:pPr>
      <w:r>
        <w:rPr>
          <w:rFonts w:hint="eastAsia"/>
        </w:rPr>
        <w:t>3</w:t>
      </w:r>
      <w:r>
        <w:t>)</w:t>
      </w:r>
      <w:r>
        <w:tab/>
      </w:r>
      <w:r>
        <w:t>the "UE Service ID" element to indicate the MSGin5G UE initiating registration</w:t>
      </w:r>
      <w:r>
        <w:rPr>
          <w:rFonts w:hint="eastAsia"/>
        </w:rPr>
        <w:t xml:space="preserve"> procedure</w:t>
      </w:r>
      <w:r>
        <w:t>;</w:t>
      </w:r>
      <w:r>
        <w:rPr>
          <w:rFonts w:hint="eastAsia"/>
        </w:rPr>
        <w:t xml:space="preserve"> and</w:t>
      </w:r>
    </w:p>
    <w:p>
      <w:pPr>
        <w:pStyle w:val="76"/>
      </w:pPr>
      <w:r>
        <w:rPr>
          <w:rFonts w:hint="eastAsia"/>
        </w:rPr>
        <w:t>4</w:t>
      </w:r>
      <w:r>
        <w:t>)</w:t>
      </w:r>
      <w:r>
        <w:rPr>
          <w:rFonts w:hint="eastAsia"/>
        </w:rPr>
        <w:tab/>
      </w:r>
      <w:r>
        <w:t>optionally, the "MSGin5G Client Profile" element to include a set of parameters describing the MSGin5G Client. This element may include the "MSGin5G Client Triggering Information" element and the "MSGin5G Client Communication Availability" element. The "MSGin5G Client Triggering Information" element shall include</w:t>
      </w:r>
      <w:r>
        <w:rPr>
          <w:rFonts w:hint="eastAsia"/>
        </w:rPr>
        <w:t xml:space="preserve"> </w:t>
      </w:r>
      <w:r>
        <w:t>the "MSGin5G UE ID" element to indicate the MSGin5G UE hosting the MSGin5G Client and the "MSGin5G Client Port</w:t>
      </w:r>
      <w:del w:id="0" w:author="ly" w:date="2023-10-12T10:43:43Z">
        <w:r>
          <w:rPr/>
          <w:delText>s</w:delText>
        </w:r>
      </w:del>
      <w:r>
        <w:t xml:space="preserve">" element to indicate that the MSGin5G </w:t>
      </w:r>
      <w:r>
        <w:rPr>
          <w:rFonts w:hint="eastAsia"/>
        </w:rPr>
        <w:t>C</w:t>
      </w:r>
      <w:r>
        <w:t>lient listens on for device triggers from the MSGin5G Server</w:t>
      </w:r>
      <w:r>
        <w:rPr>
          <w:rFonts w:hint="eastAsia"/>
        </w:rPr>
        <w:t>.</w:t>
      </w:r>
      <w:r>
        <w:t xml:space="preserve"> </w:t>
      </w:r>
      <w:r>
        <w:rPr>
          <w:rFonts w:hint="eastAsia"/>
        </w:rPr>
        <w:t>T</w:t>
      </w:r>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pPr>
        <w:pStyle w:val="77"/>
      </w:pPr>
      <w:r>
        <w:t>i)</w:t>
      </w:r>
      <w:r>
        <w:tab/>
      </w:r>
      <w:r>
        <w:t>shall include the "Scheduled communication time" element to indicate the time when the UE becomes available for communication;</w:t>
      </w:r>
    </w:p>
    <w:p>
      <w:pPr>
        <w:pStyle w:val="77"/>
      </w:pPr>
      <w:r>
        <w:t>ii)</w:t>
      </w:r>
      <w:r>
        <w:tab/>
      </w:r>
      <w:r>
        <w:t>shall include the "Communication duration time" element to indicate the duration time of periodic communication;</w:t>
      </w:r>
    </w:p>
    <w:p>
      <w:pPr>
        <w:pStyle w:val="77"/>
      </w:pPr>
      <w:r>
        <w:t>iii)</w:t>
      </w:r>
      <w:r>
        <w:tab/>
      </w:r>
      <w:r>
        <w:t>may include the "Periodic communication indicator" element to identify whether the client communicates periodically or not;</w:t>
      </w:r>
    </w:p>
    <w:p>
      <w:pPr>
        <w:pStyle w:val="77"/>
      </w:pPr>
      <w:r>
        <w:t>iv)</w:t>
      </w:r>
      <w:r>
        <w:tab/>
      </w:r>
      <w:r>
        <w:rPr>
          <w:rFonts w:hint="eastAsia"/>
        </w:rPr>
        <w:t>may</w:t>
      </w:r>
      <w:r>
        <w:t xml:space="preserve"> include the "Periodic communication interval" element to indicate the interval Time of periodic communication </w:t>
      </w:r>
      <w:r>
        <w:rPr>
          <w:shd w:val="clear" w:color="auto" w:fill="FFFFFF"/>
        </w:rPr>
        <w:t>if "Periodic communication indicator" element is included</w:t>
      </w:r>
      <w:r>
        <w:t>;</w:t>
      </w:r>
    </w:p>
    <w:p>
      <w:pPr>
        <w:pStyle w:val="77"/>
      </w:pPr>
      <w:r>
        <w:t>v)</w:t>
      </w:r>
      <w:r>
        <w:tab/>
      </w:r>
      <w:r>
        <w:t>may include the "Data size indication" element to indicate the expected data size to be exchanged during the communication duration; and</w:t>
      </w:r>
    </w:p>
    <w:p>
      <w:pPr>
        <w:pStyle w:val="77"/>
      </w:pPr>
      <w:r>
        <w:t>vi)</w:t>
      </w:r>
      <w:r>
        <w:tab/>
      </w:r>
      <w:r>
        <w:t>may include the "Store and forward option" element to indicate the UE does not request store and forward services for incoming MSGin5G requests.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pPr>
      <w:bookmarkStart w:id="7" w:name="_Toc146749263"/>
      <w:r>
        <w:rPr>
          <w:rFonts w:hint="eastAsia"/>
        </w:rPr>
        <w:t>6.3.</w:t>
      </w:r>
      <w:r>
        <w:rPr>
          <w:lang w:eastAsia="zh-CN"/>
        </w:rPr>
        <w:t>4</w:t>
      </w:r>
      <w:r>
        <w:rPr>
          <w:rFonts w:hint="eastAsia"/>
          <w:lang w:eastAsia="zh-CN"/>
        </w:rPr>
        <w:t>.</w:t>
      </w:r>
      <w:r>
        <w:rPr>
          <w:lang w:eastAsia="zh-CN"/>
        </w:rPr>
        <w:t>2</w:t>
      </w:r>
      <w:r>
        <w:rPr>
          <w:rFonts w:hint="eastAsia"/>
        </w:rPr>
        <w:t>.</w:t>
      </w:r>
      <w:r>
        <w:rPr>
          <w:rFonts w:hint="eastAsia"/>
          <w:lang w:eastAsia="zh-CN"/>
        </w:rPr>
        <w:t>1</w:t>
      </w:r>
      <w:r>
        <w:rPr>
          <w:rFonts w:hint="eastAsia"/>
        </w:rPr>
        <w:tab/>
      </w:r>
      <w:r>
        <w:rPr>
          <w:lang w:eastAsia="zh-CN"/>
        </w:rPr>
        <w:t>Registration intiated by</w:t>
      </w:r>
      <w:r>
        <w:rPr>
          <w:rFonts w:hint="eastAsia"/>
          <w:lang w:eastAsia="zh-CN"/>
        </w:rPr>
        <w:t xml:space="preserve"> </w:t>
      </w:r>
      <w:r>
        <w:rPr>
          <w:lang w:val="en-US" w:eastAsia="zh-CN"/>
        </w:rPr>
        <w:t>Constrained</w:t>
      </w:r>
      <w:r>
        <w:rPr>
          <w:rFonts w:hint="eastAsia"/>
          <w:lang w:val="en-US" w:eastAsia="zh-CN"/>
        </w:rPr>
        <w:t xml:space="preserve"> UE</w:t>
      </w:r>
      <w:bookmarkEnd w:id="7"/>
    </w:p>
    <w:p>
      <w:r>
        <w:rPr>
          <w:rFonts w:hint="eastAsia"/>
        </w:rPr>
        <w:t xml:space="preserve">After the UE </w:t>
      </w:r>
      <w:r>
        <w:t>S</w:t>
      </w:r>
      <w:r>
        <w:rPr>
          <w:rFonts w:hint="eastAsia"/>
        </w:rPr>
        <w:t xml:space="preserve">ervice </w:t>
      </w:r>
      <w:r>
        <w:t>ID</w:t>
      </w:r>
      <w:r>
        <w:rPr>
          <w:rFonts w:hint="eastAsia"/>
          <w:lang w:eastAsia="zh-CN"/>
        </w:rPr>
        <w:t xml:space="preserve"> is configured to</w:t>
      </w:r>
      <w:r>
        <w:rPr>
          <w:rFonts w:hint="eastAsia"/>
        </w:rPr>
        <w:t xml:space="preserve"> the MSGin5G </w:t>
      </w:r>
      <w:r>
        <w:t>UE</w:t>
      </w:r>
      <w:r>
        <w:rPr>
          <w:rFonts w:hint="eastAsia"/>
        </w:rPr>
        <w:t xml:space="preserve">, </w:t>
      </w:r>
      <w:r>
        <w:t xml:space="preserve">in order to register MSGin5G UE to the MSGin5G </w:t>
      </w:r>
      <w:r>
        <w:rPr>
          <w:rFonts w:hint="eastAsia"/>
        </w:rPr>
        <w:t>S</w:t>
      </w:r>
      <w:r>
        <w:t xml:space="preserve">erver, </w:t>
      </w:r>
      <w:r>
        <w:rPr>
          <w:rFonts w:hint="eastAsia"/>
        </w:rPr>
        <w:t>the MSGin5G Client</w:t>
      </w:r>
      <w:r>
        <w:t xml:space="preserve"> on the Constrained UE </w:t>
      </w:r>
      <w:r>
        <w:rPr>
          <w:rFonts w:hint="eastAsia"/>
        </w:rPr>
        <w:t xml:space="preserve">shall send a CoAP POST request to the MSGin5G Server. </w:t>
      </w:r>
      <w:r>
        <w:t xml:space="preserve">If the registration request is allowed to delay for bulk registration initiated by the </w:t>
      </w:r>
      <w:r>
        <w:rPr>
          <w:rFonts w:hint="eastAsia"/>
          <w:lang w:val="en-US" w:eastAsia="zh-CN"/>
        </w:rPr>
        <w:t>MSGin5G Gateway Client</w:t>
      </w:r>
      <w:r>
        <w:rPr>
          <w:lang w:val="en-US" w:eastAsia="zh-CN"/>
        </w:rPr>
        <w:t>, i</w:t>
      </w:r>
      <w:r>
        <w:t xml:space="preserve">n the CoAP POST rquest, the </w:t>
      </w:r>
      <w:r>
        <w:rPr>
          <w:rFonts w:hint="eastAsia"/>
        </w:rPr>
        <w:t>MSGin5G Client</w:t>
      </w:r>
      <w:r>
        <w:t xml:space="preserve"> on the Constrained UE:</w:t>
      </w:r>
    </w:p>
    <w:p>
      <w:pPr>
        <w:pStyle w:val="75"/>
      </w:pPr>
      <w:r>
        <w:t>a)</w:t>
      </w:r>
      <w:r>
        <w:tab/>
      </w:r>
      <w:r>
        <w:t>shall set the "T" field in the CoAP header to 0 to indicate acknowledge message required;</w:t>
      </w:r>
    </w:p>
    <w:p>
      <w:pPr>
        <w:pStyle w:val="75"/>
      </w:pPr>
      <w:r>
        <w:t>b)</w:t>
      </w:r>
      <w:r>
        <w:tab/>
      </w:r>
      <w:r>
        <w:t xml:space="preserve">shall include the MSGin5G Server address in the Option header of </w:t>
      </w:r>
      <w:r>
        <w:rPr>
          <w:rFonts w:hint="eastAsia"/>
        </w:rPr>
        <w:t xml:space="preserve">the </w:t>
      </w:r>
      <w:r>
        <w:t>CoAP POST request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Pr>
        <w:pStyle w:val="75"/>
      </w:pPr>
      <w:r>
        <w:t>c)</w:t>
      </w:r>
      <w:r>
        <w:tab/>
      </w:r>
      <w:r>
        <w:t xml:space="preserve">shall set the </w:t>
      </w:r>
      <w:r>
        <w:rPr>
          <w:rFonts w:hint="eastAsia"/>
        </w:rPr>
        <w:t>"Content</w:t>
      </w:r>
      <w:r>
        <w:t>-</w:t>
      </w:r>
      <w:r>
        <w:rPr>
          <w:rFonts w:hint="eastAsia"/>
        </w:rPr>
        <w:t>Format" element</w:t>
      </w:r>
      <w:r>
        <w:t xml:space="preserve"> to "50" to indicate the format of the CoAP payload is "application/json";</w:t>
      </w:r>
      <w:r>
        <w:rPr>
          <w:rFonts w:hint="eastAsia"/>
        </w:rPr>
        <w:t xml:space="preserve"> and</w:t>
      </w:r>
    </w:p>
    <w:p>
      <w:pPr>
        <w:pStyle w:val="75"/>
      </w:pPr>
      <w:r>
        <w:t>d)</w:t>
      </w:r>
      <w:r>
        <w:tab/>
      </w:r>
      <w:r>
        <w:t xml:space="preserve">shall include the following information elements in the CoAP payload </w:t>
      </w:r>
      <w:r>
        <w:rPr>
          <w:rFonts w:hint="eastAsia"/>
        </w:rPr>
        <w:t>encoded in JSON format</w:t>
      </w:r>
      <w:r>
        <w:t>:</w:t>
      </w:r>
    </w:p>
    <w:p>
      <w:pPr>
        <w:pStyle w:val="76"/>
      </w:pPr>
      <w:r>
        <w:t>1)</w:t>
      </w:r>
      <w:r>
        <w:tab/>
      </w:r>
      <w:r>
        <w:t>the "MSGin5G service identifier" element to indicate that this CoAP POST request is used for MSGin5G service;</w:t>
      </w:r>
    </w:p>
    <w:p>
      <w:pPr>
        <w:pStyle w:val="76"/>
      </w:pPr>
      <w:r>
        <w:rPr>
          <w:rFonts w:hint="eastAsia"/>
        </w:rPr>
        <w:t>2)</w:t>
      </w:r>
      <w:r>
        <w:rPr>
          <w:rFonts w:hint="eastAsia"/>
        </w:rPr>
        <w:tab/>
      </w:r>
      <w:r>
        <w:t>the "Message Type" element with a "</w:t>
      </w:r>
      <w:r>
        <w:rPr>
          <w:rFonts w:hint="eastAsia"/>
        </w:rPr>
        <w:t>REG</w:t>
      </w:r>
      <w:r>
        <w:t>" value to indicate that th</w:t>
      </w:r>
      <w:r>
        <w:rPr>
          <w:rFonts w:hint="eastAsia"/>
        </w:rPr>
        <w:t>is</w:t>
      </w:r>
      <w:r>
        <w:t xml:space="preserve"> CoAP POST request is used for registration;</w:t>
      </w:r>
    </w:p>
    <w:p>
      <w:pPr>
        <w:pStyle w:val="76"/>
        <w:rPr>
          <w:lang w:eastAsia="zh-CN"/>
        </w:rPr>
      </w:pPr>
      <w:r>
        <w:t>3</w:t>
      </w:r>
      <w:r>
        <w:rPr>
          <w:rFonts w:hint="eastAsia"/>
          <w:lang w:eastAsia="zh-CN"/>
        </w:rPr>
        <w:t>)</w:t>
      </w:r>
      <w:r>
        <w:rPr>
          <w:lang w:eastAsia="zh-CN"/>
        </w:rPr>
        <w:tab/>
      </w:r>
      <w:r>
        <w:t>the "</w:t>
      </w:r>
      <w:r>
        <w:rPr>
          <w:lang w:eastAsia="zh-CN"/>
        </w:rPr>
        <w:t>Registration urgent degree</w:t>
      </w:r>
      <w:r>
        <w:t>" element with a"false" value to indicate that th</w:t>
      </w:r>
      <w:r>
        <w:rPr>
          <w:rFonts w:hint="eastAsia"/>
        </w:rPr>
        <w:t>is</w:t>
      </w:r>
      <w:r>
        <w:t xml:space="preserve"> registration is not urgent;</w:t>
      </w:r>
    </w:p>
    <w:p>
      <w:pPr>
        <w:pStyle w:val="76"/>
      </w:pPr>
      <w:r>
        <w:t>4)</w:t>
      </w:r>
      <w:r>
        <w:tab/>
      </w:r>
      <w:r>
        <w:t>the "UE Service ID" element to indicate the MSGin5G UE initiating registration</w:t>
      </w:r>
      <w:r>
        <w:rPr>
          <w:rFonts w:hint="eastAsia"/>
        </w:rPr>
        <w:t xml:space="preserve"> procedure</w:t>
      </w:r>
      <w:r>
        <w:t>;</w:t>
      </w:r>
    </w:p>
    <w:p>
      <w:pPr>
        <w:pStyle w:val="76"/>
      </w:pPr>
      <w:r>
        <w:t>5)</w:t>
      </w:r>
      <w:r>
        <w:rPr>
          <w:rFonts w:hint="eastAsia"/>
        </w:rPr>
        <w:tab/>
      </w:r>
      <w:r>
        <w:t>optionally, the "MSGin5G Client Profile" element to include a set of parameters describing the MSGin5G Client. This element may include the "MSGin5G Client Triggering Information" element and the "MSGin5G Client Communication Availability" element. The "MSGin5G Client Triggering Information" element shall include</w:t>
      </w:r>
      <w:r>
        <w:rPr>
          <w:rFonts w:hint="eastAsia"/>
        </w:rPr>
        <w:t xml:space="preserve"> </w:t>
      </w:r>
      <w:r>
        <w:t>the "MSGin5G UE ID" element to indicate the MSGin5G UE hosting the MSGin5G Client and the "MSGin5G Client Port</w:t>
      </w:r>
      <w:del w:id="1" w:author="ly" w:date="2023-10-12T10:44:11Z">
        <w:r>
          <w:rPr/>
          <w:delText>s</w:delText>
        </w:r>
      </w:del>
      <w:r>
        <w:t xml:space="preserve">" element to indicate that the MSGin5G </w:t>
      </w:r>
      <w:r>
        <w:rPr>
          <w:rFonts w:hint="eastAsia"/>
        </w:rPr>
        <w:t>C</w:t>
      </w:r>
      <w:r>
        <w:t>lient listens on for device triggers from the MSGin5G Server</w:t>
      </w:r>
      <w:r>
        <w:rPr>
          <w:rFonts w:hint="eastAsia"/>
        </w:rPr>
        <w:t>.</w:t>
      </w:r>
      <w:r>
        <w:t xml:space="preserve"> </w:t>
      </w:r>
      <w:r>
        <w:rPr>
          <w:rFonts w:hint="eastAsia"/>
        </w:rPr>
        <w:t>T</w:t>
      </w:r>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pPr>
        <w:pStyle w:val="77"/>
      </w:pPr>
      <w:r>
        <w:t>i)</w:t>
      </w:r>
      <w:r>
        <w:tab/>
      </w:r>
      <w:r>
        <w:t>shall include the "Scheduled communication time" element to indicate the time when the UE becomes available for communication;</w:t>
      </w:r>
    </w:p>
    <w:p>
      <w:pPr>
        <w:pStyle w:val="77"/>
      </w:pPr>
      <w:r>
        <w:t>ii)</w:t>
      </w:r>
      <w:r>
        <w:tab/>
      </w:r>
      <w:r>
        <w:t>shall include the "Communication duration time" element to indicate the duration time of periodic communication;</w:t>
      </w:r>
    </w:p>
    <w:p>
      <w:pPr>
        <w:pStyle w:val="77"/>
      </w:pPr>
      <w:r>
        <w:t>iii)</w:t>
      </w:r>
      <w:r>
        <w:tab/>
      </w:r>
      <w:r>
        <w:t>may include the "Periodic communication indicator" element to identify whether the client communicates periodically or not;</w:t>
      </w:r>
    </w:p>
    <w:p>
      <w:pPr>
        <w:pStyle w:val="77"/>
      </w:pPr>
      <w:r>
        <w:t>iv)</w:t>
      </w:r>
      <w:r>
        <w:tab/>
      </w:r>
      <w:r>
        <w:rPr>
          <w:rFonts w:hint="eastAsia"/>
        </w:rPr>
        <w:t>may</w:t>
      </w:r>
      <w:r>
        <w:t xml:space="preserve"> include the "Periodic communication interval" element to indicate the interval Time of periodic communication </w:t>
      </w:r>
      <w:r>
        <w:rPr>
          <w:shd w:val="clear" w:color="auto" w:fill="FFFFFF"/>
        </w:rPr>
        <w:t>if "Periodic communication indicator" element is included</w:t>
      </w:r>
      <w:r>
        <w:t>;</w:t>
      </w:r>
    </w:p>
    <w:p>
      <w:pPr>
        <w:pStyle w:val="77"/>
      </w:pPr>
      <w:r>
        <w:t>v)</w:t>
      </w:r>
      <w:r>
        <w:tab/>
      </w:r>
      <w:r>
        <w:t>may include the "Data size indication" element to indicate the expected data size to be exchanged during the communication duration; and</w:t>
      </w:r>
    </w:p>
    <w:p>
      <w:pPr>
        <w:pStyle w:val="77"/>
      </w:pPr>
      <w:r>
        <w:t>vi)</w:t>
      </w:r>
      <w:r>
        <w:tab/>
      </w:r>
      <w:r>
        <w:t>may include the "Store and forward option" element to indicate the UE does not request store and forward services for incoming MSGin5G requests;and</w:t>
      </w:r>
    </w:p>
    <w:p>
      <w:pPr>
        <w:pStyle w:val="76"/>
      </w:pPr>
      <w:r>
        <w:t>6)</w:t>
      </w:r>
      <w:r>
        <w:tab/>
      </w:r>
      <w:r>
        <w:t>optionally, the "</w:t>
      </w:r>
      <w:r>
        <w:rPr>
          <w:lang w:eastAsia="zh-CN"/>
        </w:rPr>
        <w:t>Registration request expiration time</w:t>
      </w:r>
      <w:r>
        <w:t>" element to indicate the maximum processing time of the registration request allowed.</w:t>
      </w:r>
    </w:p>
    <w:p>
      <w:r>
        <w:rPr>
          <w:lang w:eastAsia="zh-CN"/>
        </w:rPr>
        <w:t xml:space="preserve">Upon </w:t>
      </w:r>
      <w:r>
        <w:rPr>
          <w:rFonts w:hint="eastAsia"/>
        </w:rPr>
        <w:t xml:space="preserve">reception of </w:t>
      </w:r>
      <w:r>
        <w:t>the CoAP POST request containing</w:t>
      </w:r>
      <w:r>
        <w:rPr>
          <w:rFonts w:hint="eastAsia"/>
        </w:rPr>
        <w:t xml:space="preserve"> </w:t>
      </w:r>
      <w:r>
        <w:t xml:space="preserve">MSGin5G service identifier indicating that the received request is for MSGin5G service and </w:t>
      </w:r>
      <w:r>
        <w:rPr>
          <w:rFonts w:hint="eastAsia"/>
        </w:rPr>
        <w:t>Message</w:t>
      </w:r>
      <w:r>
        <w:t xml:space="preserve"> Type indicating that received request is for </w:t>
      </w:r>
      <w:r>
        <w:rPr>
          <w:lang w:eastAsia="zh-CN"/>
        </w:rPr>
        <w:t xml:space="preserve">registration response, </w:t>
      </w:r>
      <w:r>
        <w:t xml:space="preserve">the </w:t>
      </w:r>
      <w:r>
        <w:rPr>
          <w:rFonts w:hint="eastAsia"/>
        </w:rPr>
        <w:t>MSGin5G Client</w:t>
      </w:r>
      <w:r>
        <w:t xml:space="preserve"> in the Constrained UE generate a CoAP 2.04 (Change) response including the CoAP "Message ID" element and the "Token" element with</w:t>
      </w:r>
      <w:r>
        <w:rPr>
          <w:rFonts w:hint="eastAsia"/>
        </w:rPr>
        <w:t xml:space="preserve"> </w:t>
      </w:r>
      <w:r>
        <w:t xml:space="preserve">the same values with those in the CoAP POST </w:t>
      </w:r>
      <w:r>
        <w:rPr>
          <w:rFonts w:hint="eastAsia"/>
        </w:rPr>
        <w:t>request</w:t>
      </w:r>
      <w:r>
        <w:t xml:space="preserve"> for registration.</w:t>
      </w: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lang w:eastAsia="zh-CN"/>
        </w:rPr>
      </w:pPr>
      <w:bookmarkStart w:id="8" w:name="_Toc91148405"/>
      <w:bookmarkStart w:id="9" w:name="_Toc138340010"/>
      <w:bookmarkStart w:id="10" w:name="_Toc104711076"/>
      <w:bookmarkStart w:id="11" w:name="_Toc97379738"/>
      <w:r>
        <w:rPr>
          <w:rFonts w:hint="eastAsia"/>
          <w:lang w:eastAsia="zh-CN"/>
        </w:rPr>
        <w:t>7</w:t>
      </w:r>
      <w:r>
        <w:rPr>
          <w:lang w:eastAsia="zh-CN"/>
        </w:rPr>
        <w:t>.3.</w:t>
      </w:r>
      <w:r>
        <w:rPr>
          <w:rFonts w:hint="eastAsia"/>
          <w:lang w:eastAsia="zh-CN"/>
        </w:rPr>
        <w:t>3.1</w:t>
      </w:r>
      <w:r>
        <w:rPr>
          <w:lang w:eastAsia="zh-CN"/>
        </w:rPr>
        <w:tab/>
      </w:r>
      <w:bookmarkEnd w:id="8"/>
      <w:bookmarkEnd w:id="9"/>
      <w:bookmarkEnd w:id="10"/>
      <w:bookmarkEnd w:id="11"/>
      <w:r>
        <w:rPr>
          <w:lang w:eastAsia="zh-CN"/>
        </w:rPr>
        <w:t>MSGin5G UE Registration structure</w:t>
      </w:r>
    </w:p>
    <w:p>
      <w:r>
        <w:t>The schema</w:t>
      </w:r>
      <w:r>
        <w:rPr>
          <w:lang w:eastAsia="zh-CN"/>
        </w:rPr>
        <w:t xml:space="preserve"> is based on JSON Schema Draft-07</w:t>
      </w:r>
      <w:r>
        <w:rPr>
          <w:rFonts w:eastAsia="等线"/>
        </w:rPr>
        <w:t> [</w:t>
      </w:r>
      <w:r>
        <w:rPr>
          <w:rFonts w:hint="eastAsia" w:eastAsia="等线"/>
          <w:lang w:eastAsia="zh-CN"/>
        </w:rPr>
        <w:t>8</w:t>
      </w:r>
      <w:r>
        <w:rPr>
          <w:rFonts w:eastAsia="等线"/>
        </w:rPr>
        <w:t>]</w:t>
      </w:r>
      <w:r>
        <w:rPr>
          <w:rFonts w:hint="eastAsia"/>
          <w:lang w:eastAsia="zh-CN"/>
        </w:rPr>
        <w:t xml:space="preserve">. For reducing the overhead of </w:t>
      </w:r>
      <w:r>
        <w:rPr>
          <w:lang w:eastAsia="zh-CN"/>
        </w:rPr>
        <w:t xml:space="preserve">the message used in </w:t>
      </w:r>
      <w:r>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MSGin5G </w:t>
      </w:r>
      <w:r>
        <w:rPr>
          <w:lang w:eastAsia="zh-CN"/>
        </w:rPr>
        <w:t xml:space="preserve">registration </w:t>
      </w:r>
      <w:r>
        <w:t>is defined below:</w:t>
      </w:r>
    </w:p>
    <w:p>
      <w:pPr>
        <w:pStyle w:val="64"/>
      </w:pPr>
      <w:r>
        <w:t>{</w:t>
      </w:r>
    </w:p>
    <w:p>
      <w:pPr>
        <w:pStyle w:val="64"/>
      </w:pPr>
      <w:r>
        <w:t xml:space="preserve">  "$schema": "http://json-schema.org/draft-07/schema#",</w:t>
      </w:r>
    </w:p>
    <w:p>
      <w:pPr>
        <w:pStyle w:val="64"/>
      </w:pPr>
      <w:r>
        <w:t xml:space="preserve">  "$id": "http://www.3gpp.org/MSGin5G/MSGin5G_Registration_request_schema",</w:t>
      </w:r>
    </w:p>
    <w:p>
      <w:pPr>
        <w:pStyle w:val="64"/>
      </w:pPr>
      <w:r>
        <w:t xml:space="preserve">  "title": "MSGin5G Registration Request",</w:t>
      </w:r>
    </w:p>
    <w:p>
      <w:pPr>
        <w:pStyle w:val="64"/>
      </w:pPr>
      <w:r>
        <w:t xml:space="preserve">  "type": "object",</w:t>
      </w:r>
    </w:p>
    <w:p>
      <w:pPr>
        <w:pStyle w:val="64"/>
      </w:pPr>
      <w:r>
        <w:t xml:space="preserve">  "properties": {</w:t>
      </w:r>
    </w:p>
    <w:p>
      <w:pPr>
        <w:pStyle w:val="64"/>
      </w:pPr>
      <w:r>
        <w:t xml:space="preserve">    "msgIden": {</w:t>
      </w:r>
    </w:p>
    <w:p>
      <w:pPr>
        <w:pStyle w:val="64"/>
      </w:pPr>
      <w:r>
        <w:t xml:space="preserve">      "type": "string",</w:t>
      </w:r>
    </w:p>
    <w:p>
      <w:pPr>
        <w:pStyle w:val="64"/>
      </w:pPr>
      <w:r>
        <w:t xml:space="preserve">      "format": "uri",</w:t>
      </w:r>
    </w:p>
    <w:p>
      <w:pPr>
        <w:pStyle w:val="64"/>
      </w:pPr>
      <w:r>
        <w:t xml:space="preserve">      "description": "Refer to Service identifier of MSGin5G service"</w:t>
      </w:r>
    </w:p>
    <w:p>
      <w:pPr>
        <w:pStyle w:val="64"/>
      </w:pPr>
      <w:r>
        <w:t xml:space="preserve">    },</w:t>
      </w:r>
    </w:p>
    <w:p>
      <w:pPr>
        <w:pStyle w:val="64"/>
      </w:pPr>
      <w:r>
        <w:t xml:space="preserve">    "msgType": {</w:t>
      </w:r>
    </w:p>
    <w:p>
      <w:pPr>
        <w:pStyle w:val="64"/>
      </w:pPr>
      <w:r>
        <w:t xml:space="preserve">      "type": "string",</w:t>
      </w:r>
    </w:p>
    <w:p>
      <w:pPr>
        <w:pStyle w:val="64"/>
      </w:pPr>
      <w:r>
        <w:t xml:space="preserve">      </w:t>
      </w:r>
      <w:r>
        <w:rPr>
          <w:rFonts w:hint="eastAsia"/>
        </w:rPr>
        <w:t>"enum": [</w:t>
      </w:r>
    </w:p>
    <w:p>
      <w:pPr>
        <w:pStyle w:val="64"/>
      </w:pPr>
      <w:r>
        <w:t xml:space="preserve">        "REG"</w:t>
      </w:r>
    </w:p>
    <w:p>
      <w:pPr>
        <w:pStyle w:val="64"/>
      </w:pPr>
      <w:r>
        <w:t xml:space="preserve">      ],</w:t>
      </w:r>
    </w:p>
    <w:p>
      <w:pPr>
        <w:pStyle w:val="64"/>
      </w:pPr>
      <w:r>
        <w:t xml:space="preserve">      "description": "Refer to the usage of this message. The value REG refers to MSGin5G Registration"</w:t>
      </w:r>
    </w:p>
    <w:p>
      <w:pPr>
        <w:pStyle w:val="64"/>
      </w:pPr>
      <w:r>
        <w:t xml:space="preserve">    },</w:t>
      </w:r>
    </w:p>
    <w:p>
      <w:pPr>
        <w:pStyle w:val="64"/>
      </w:pPr>
      <w:r>
        <w:t xml:space="preserve">    "oriAddr": {</w:t>
      </w:r>
    </w:p>
    <w:p>
      <w:pPr>
        <w:pStyle w:val="64"/>
      </w:pPr>
      <w:r>
        <w:t xml:space="preserve">      "type": "object",</w:t>
      </w:r>
    </w:p>
    <w:p>
      <w:pPr>
        <w:pStyle w:val="64"/>
      </w:pPr>
      <w:r>
        <w:t xml:space="preserve">      "properties": {</w:t>
      </w:r>
    </w:p>
    <w:p>
      <w:pPr>
        <w:pStyle w:val="64"/>
      </w:pPr>
      <w:r>
        <w:t xml:space="preserve">        "oriAddrType": {</w:t>
      </w:r>
    </w:p>
    <w:p>
      <w:pPr>
        <w:pStyle w:val="64"/>
      </w:pPr>
      <w:r>
        <w:t xml:space="preserve">          "enum": [</w:t>
      </w:r>
    </w:p>
    <w:p>
      <w:pPr>
        <w:pStyle w:val="64"/>
      </w:pPr>
      <w:r>
        <w:rPr>
          <w:rFonts w:hint="eastAsia"/>
        </w:rPr>
        <w:t xml:space="preserve">            "UE"</w:t>
      </w:r>
    </w:p>
    <w:p>
      <w:pPr>
        <w:pStyle w:val="64"/>
      </w:pPr>
      <w:r>
        <w:rPr>
          <w:rFonts w:hint="eastAsia"/>
        </w:rPr>
        <w:t xml:space="preserve">          ]</w:t>
      </w:r>
    </w:p>
    <w:p>
      <w:pPr>
        <w:pStyle w:val="64"/>
      </w:pPr>
      <w:r>
        <w:rPr>
          <w:rFonts w:hint="eastAsia"/>
        </w:rPr>
        <w:t xml:space="preserve">        },</w:t>
      </w:r>
    </w:p>
    <w:p>
      <w:pPr>
        <w:pStyle w:val="64"/>
      </w:pPr>
      <w:r>
        <w:rPr>
          <w:rFonts w:hint="eastAsia"/>
        </w:rPr>
        <w:t xml:space="preserve">        "addr": {</w:t>
      </w:r>
    </w:p>
    <w:p>
      <w:pPr>
        <w:pStyle w:val="64"/>
      </w:pPr>
      <w:r>
        <w:rPr>
          <w:rFonts w:hint="eastAsia"/>
        </w:rPr>
        <w:t xml:space="preserve">          "type": "string"</w:t>
      </w:r>
    </w:p>
    <w:p>
      <w:pPr>
        <w:pStyle w:val="64"/>
      </w:pPr>
      <w:r>
        <w:rPr>
          <w:rFonts w:hint="eastAsia"/>
        </w:rPr>
        <w:t xml:space="preserve">        }</w:t>
      </w:r>
    </w:p>
    <w:p>
      <w:pPr>
        <w:pStyle w:val="64"/>
      </w:pPr>
      <w:r>
        <w:rPr>
          <w:rFonts w:hint="eastAsia"/>
        </w:rPr>
        <w:t xml:space="preserve">      },</w:t>
      </w:r>
    </w:p>
    <w:p>
      <w:pPr>
        <w:pStyle w:val="64"/>
      </w:pPr>
      <w:r>
        <w:rPr>
          <w:rFonts w:hint="eastAsia"/>
        </w:rPr>
        <w:t xml:space="preserve">      "description": "Refer to Originating</w:t>
      </w:r>
      <w:r>
        <w:t xml:space="preserve"> UE Service ID"</w:t>
      </w:r>
    </w:p>
    <w:p>
      <w:pPr>
        <w:pStyle w:val="64"/>
      </w:pPr>
      <w:r>
        <w:t xml:space="preserve">    },</w:t>
      </w:r>
    </w:p>
    <w:p>
      <w:pPr>
        <w:pStyle w:val="64"/>
      </w:pPr>
      <w:r>
        <w:t xml:space="preserve">    "cliProfile": {</w:t>
      </w:r>
    </w:p>
    <w:p>
      <w:pPr>
        <w:pStyle w:val="64"/>
      </w:pPr>
      <w:r>
        <w:t xml:space="preserve">      "type": "object",</w:t>
      </w:r>
    </w:p>
    <w:p>
      <w:pPr>
        <w:pStyle w:val="64"/>
      </w:pPr>
      <w:r>
        <w:t xml:space="preserve">      "properties": {</w:t>
      </w:r>
    </w:p>
    <w:p>
      <w:pPr>
        <w:pStyle w:val="64"/>
      </w:pPr>
      <w:r>
        <w:t xml:space="preserve">        "triInfo": {</w:t>
      </w:r>
    </w:p>
    <w:p>
      <w:pPr>
        <w:pStyle w:val="64"/>
      </w:pPr>
      <w:r>
        <w:t xml:space="preserve">          "type": "object",</w:t>
      </w:r>
    </w:p>
    <w:p>
      <w:pPr>
        <w:pStyle w:val="64"/>
      </w:pPr>
      <w:r>
        <w:t xml:space="preserve">          "properties": {</w:t>
      </w:r>
    </w:p>
    <w:p>
      <w:pPr>
        <w:pStyle w:val="64"/>
      </w:pPr>
      <w:r>
        <w:t xml:space="preserve">            "ueId": {</w:t>
      </w:r>
    </w:p>
    <w:p>
      <w:pPr>
        <w:pStyle w:val="64"/>
      </w:pPr>
      <w:r>
        <w:t xml:space="preserve">              "type": "string",</w:t>
      </w:r>
    </w:p>
    <w:p>
      <w:pPr>
        <w:pStyle w:val="64"/>
      </w:pPr>
      <w:r>
        <w:t xml:space="preserve">              "format": "uri",</w:t>
      </w:r>
    </w:p>
    <w:p>
      <w:pPr>
        <w:pStyle w:val="64"/>
      </w:pPr>
      <w:r>
        <w:t xml:space="preserve">              "description": "Refer to MSGin5G UE ID"</w:t>
      </w:r>
    </w:p>
    <w:p>
      <w:pPr>
        <w:pStyle w:val="64"/>
      </w:pPr>
      <w:r>
        <w:t xml:space="preserve">            },</w:t>
      </w:r>
    </w:p>
    <w:p>
      <w:pPr>
        <w:pStyle w:val="64"/>
      </w:pPr>
      <w:r>
        <w:t xml:space="preserve">            "cliPort": {</w:t>
      </w:r>
    </w:p>
    <w:p>
      <w:pPr>
        <w:pStyle w:val="64"/>
      </w:pPr>
      <w:r>
        <w:t xml:space="preserve">              "type": "string",</w:t>
      </w:r>
    </w:p>
    <w:p>
      <w:pPr>
        <w:pStyle w:val="64"/>
      </w:pPr>
      <w:r>
        <w:t xml:space="preserve">              "description": "Refer to MSGin5G Client Port</w:t>
      </w:r>
      <w:del w:id="2" w:author="ly" w:date="2023-10-12T10:44:42Z">
        <w:r>
          <w:rPr/>
          <w:delText>s</w:delText>
        </w:r>
      </w:del>
      <w:r>
        <w:t>"</w:t>
      </w:r>
    </w:p>
    <w:p>
      <w:pPr>
        <w:pStyle w:val="64"/>
      </w:pPr>
      <w:r>
        <w:t xml:space="preserve">            }</w:t>
      </w:r>
    </w:p>
    <w:p>
      <w:pPr>
        <w:pStyle w:val="64"/>
      </w:pPr>
      <w:r>
        <w:t xml:space="preserve">          },</w:t>
      </w:r>
    </w:p>
    <w:p>
      <w:pPr>
        <w:pStyle w:val="64"/>
      </w:pPr>
      <w:r>
        <w:t xml:space="preserve">          "required": [</w:t>
      </w:r>
    </w:p>
    <w:p>
      <w:pPr>
        <w:pStyle w:val="64"/>
      </w:pPr>
      <w:r>
        <w:t xml:space="preserve">            "ueId",</w:t>
      </w:r>
    </w:p>
    <w:p>
      <w:pPr>
        <w:pStyle w:val="64"/>
      </w:pPr>
      <w:r>
        <w:t xml:space="preserve">            "cliPort"</w:t>
      </w:r>
    </w:p>
    <w:p>
      <w:pPr>
        <w:pStyle w:val="64"/>
      </w:pPr>
      <w:r>
        <w:t xml:space="preserve">          ],</w:t>
      </w:r>
    </w:p>
    <w:p>
      <w:pPr>
        <w:pStyle w:val="64"/>
      </w:pPr>
      <w:r>
        <w:t xml:space="preserve">          "description": "Refer to MSGin5G Client Triggering Information"</w:t>
      </w:r>
    </w:p>
    <w:p>
      <w:pPr>
        <w:pStyle w:val="64"/>
      </w:pPr>
      <w:r>
        <w:t xml:space="preserve">        },</w:t>
      </w:r>
    </w:p>
    <w:p>
      <w:pPr>
        <w:pStyle w:val="64"/>
      </w:pPr>
      <w:r>
        <w:t xml:space="preserve">        "comAvail": {</w:t>
      </w:r>
    </w:p>
    <w:p>
      <w:pPr>
        <w:pStyle w:val="64"/>
      </w:pPr>
      <w:r>
        <w:t xml:space="preserve">          "type": "object",</w:t>
      </w:r>
    </w:p>
    <w:p>
      <w:pPr>
        <w:pStyle w:val="64"/>
      </w:pPr>
      <w:r>
        <w:t xml:space="preserve">          "properties": {</w:t>
      </w:r>
    </w:p>
    <w:p>
      <w:pPr>
        <w:pStyle w:val="64"/>
      </w:pPr>
      <w:r>
        <w:t xml:space="preserve">            "schTime": {</w:t>
      </w:r>
    </w:p>
    <w:p>
      <w:pPr>
        <w:pStyle w:val="64"/>
      </w:pPr>
      <w:r>
        <w:t xml:space="preserve">              "type": "string",</w:t>
      </w:r>
    </w:p>
    <w:p>
      <w:pPr>
        <w:pStyle w:val="64"/>
      </w:pPr>
      <w:r>
        <w:t xml:space="preserve">              "format": "date-time",</w:t>
      </w:r>
    </w:p>
    <w:p>
      <w:pPr>
        <w:pStyle w:val="64"/>
      </w:pPr>
      <w:r>
        <w:t xml:space="preserve">              "description": "Refer to Scheduled Communication Time"</w:t>
      </w:r>
    </w:p>
    <w:p>
      <w:pPr>
        <w:pStyle w:val="64"/>
      </w:pPr>
      <w:r>
        <w:t xml:space="preserve">            },</w:t>
      </w:r>
    </w:p>
    <w:p>
      <w:pPr>
        <w:pStyle w:val="64"/>
      </w:pPr>
      <w:r>
        <w:t xml:space="preserve">            "durTime": {</w:t>
      </w:r>
    </w:p>
    <w:p>
      <w:pPr>
        <w:pStyle w:val="64"/>
      </w:pPr>
      <w:r>
        <w:t xml:space="preserve">              "type": "string",</w:t>
      </w:r>
    </w:p>
    <w:p>
      <w:pPr>
        <w:pStyle w:val="64"/>
      </w:pPr>
      <w:r>
        <w:t xml:space="preserve">              "format": "date-time",</w:t>
      </w:r>
    </w:p>
    <w:p>
      <w:pPr>
        <w:pStyle w:val="64"/>
      </w:pPr>
      <w:r>
        <w:t xml:space="preserve">              "description": "Refer to Communication Duration Time"</w:t>
      </w:r>
    </w:p>
    <w:p>
      <w:pPr>
        <w:pStyle w:val="64"/>
      </w:pPr>
      <w:r>
        <w:t xml:space="preserve">            },</w:t>
      </w:r>
    </w:p>
    <w:p>
      <w:pPr>
        <w:pStyle w:val="64"/>
      </w:pPr>
      <w:r>
        <w:t xml:space="preserve">            "periIndi": {</w:t>
      </w:r>
    </w:p>
    <w:p>
      <w:pPr>
        <w:pStyle w:val="64"/>
      </w:pPr>
      <w:r>
        <w:t xml:space="preserve">              "type": "boolean",</w:t>
      </w:r>
    </w:p>
    <w:p>
      <w:pPr>
        <w:pStyle w:val="64"/>
      </w:pPr>
      <w:r>
        <w:t xml:space="preserve">              "default": false,</w:t>
      </w:r>
    </w:p>
    <w:p>
      <w:pPr>
        <w:pStyle w:val="64"/>
      </w:pPr>
      <w:r>
        <w:t xml:space="preserve">              "description": "Refer to Periodic Communication Indicator"</w:t>
      </w:r>
    </w:p>
    <w:p>
      <w:pPr>
        <w:pStyle w:val="64"/>
      </w:pPr>
      <w:r>
        <w:t xml:space="preserve">            },</w:t>
      </w:r>
    </w:p>
    <w:p>
      <w:pPr>
        <w:pStyle w:val="64"/>
      </w:pPr>
      <w:r>
        <w:t xml:space="preserve">            "periInterval": {</w:t>
      </w:r>
    </w:p>
    <w:p>
      <w:pPr>
        <w:pStyle w:val="64"/>
      </w:pPr>
      <w:r>
        <w:t xml:space="preserve">              "type": "string",</w:t>
      </w:r>
    </w:p>
    <w:p>
      <w:pPr>
        <w:pStyle w:val="64"/>
      </w:pPr>
      <w:r>
        <w:t xml:space="preserve">              "format": "date-time",</w:t>
      </w:r>
    </w:p>
    <w:p>
      <w:pPr>
        <w:pStyle w:val="64"/>
      </w:pPr>
      <w:r>
        <w:t xml:space="preserve">              "description": "Refer to Periodic Communication Interval"</w:t>
      </w:r>
    </w:p>
    <w:p>
      <w:pPr>
        <w:pStyle w:val="64"/>
      </w:pPr>
      <w:r>
        <w:t xml:space="preserve">            },</w:t>
      </w:r>
    </w:p>
    <w:p>
      <w:pPr>
        <w:pStyle w:val="64"/>
      </w:pPr>
      <w:r>
        <w:t xml:space="preserve">            "dataSize": {</w:t>
      </w:r>
    </w:p>
    <w:p>
      <w:pPr>
        <w:pStyle w:val="64"/>
      </w:pPr>
      <w:r>
        <w:t xml:space="preserve">              "type": "string",</w:t>
      </w:r>
    </w:p>
    <w:p>
      <w:pPr>
        <w:pStyle w:val="64"/>
      </w:pPr>
      <w:r>
        <w:t xml:space="preserve">              "description": "Refer to Data Size Indication"</w:t>
      </w:r>
    </w:p>
    <w:p>
      <w:pPr>
        <w:pStyle w:val="64"/>
      </w:pPr>
      <w:r>
        <w:t xml:space="preserve">            },</w:t>
      </w:r>
    </w:p>
    <w:p>
      <w:pPr>
        <w:pStyle w:val="64"/>
      </w:pPr>
      <w:r>
        <w:t xml:space="preserve">            "storeForward": {</w:t>
      </w:r>
    </w:p>
    <w:p>
      <w:pPr>
        <w:pStyle w:val="64"/>
      </w:pPr>
      <w:r>
        <w:t xml:space="preserve">              "type": "string",</w:t>
      </w:r>
    </w:p>
    <w:p>
      <w:pPr>
        <w:pStyle w:val="64"/>
      </w:pPr>
      <w:r>
        <w:t xml:space="preserve">              "description": "Refer to Store and Forward Option"</w:t>
      </w:r>
    </w:p>
    <w:p>
      <w:pPr>
        <w:pStyle w:val="64"/>
      </w:pPr>
      <w:r>
        <w:t xml:space="preserve">            }</w:t>
      </w:r>
    </w:p>
    <w:p>
      <w:pPr>
        <w:pStyle w:val="64"/>
      </w:pPr>
      <w:r>
        <w:t xml:space="preserve">          },</w:t>
      </w:r>
    </w:p>
    <w:p>
      <w:pPr>
        <w:pStyle w:val="64"/>
      </w:pPr>
      <w:r>
        <w:t xml:space="preserve">          "description": "Refer to MSGin5G Client Communication Availability"</w:t>
      </w:r>
    </w:p>
    <w:p>
      <w:pPr>
        <w:pStyle w:val="64"/>
      </w:pPr>
      <w:r>
        <w:t xml:space="preserve">        }</w:t>
      </w:r>
    </w:p>
    <w:p>
      <w:pPr>
        <w:pStyle w:val="64"/>
      </w:pPr>
      <w:r>
        <w:t xml:space="preserve">      },</w:t>
      </w:r>
    </w:p>
    <w:p>
      <w:pPr>
        <w:pStyle w:val="64"/>
      </w:pPr>
      <w:r>
        <w:t xml:space="preserve">      "description": "Refer to MSGin5G Client Profile"</w:t>
      </w:r>
    </w:p>
    <w:p>
      <w:pPr>
        <w:pStyle w:val="64"/>
      </w:pPr>
      <w:r>
        <w:t xml:space="preserve">    }</w:t>
      </w:r>
    </w:p>
    <w:p>
      <w:pPr>
        <w:pStyle w:val="64"/>
      </w:pPr>
      <w:r>
        <w:t xml:space="preserve">  },</w:t>
      </w:r>
    </w:p>
    <w:p>
      <w:pPr>
        <w:pStyle w:val="64"/>
      </w:pPr>
      <w:r>
        <w:t xml:space="preserve">    "required": [</w:t>
      </w:r>
    </w:p>
    <w:p>
      <w:pPr>
        <w:pStyle w:val="64"/>
      </w:pPr>
      <w:r>
        <w:t xml:space="preserve">    "msgIden",</w:t>
      </w:r>
    </w:p>
    <w:p>
      <w:pPr>
        <w:pStyle w:val="64"/>
      </w:pPr>
      <w:r>
        <w:t xml:space="preserve">    "oriAddr ",</w:t>
      </w:r>
    </w:p>
    <w:p>
      <w:pPr>
        <w:pStyle w:val="64"/>
      </w:pPr>
      <w:r>
        <w:t xml:space="preserve">    "secCred"</w:t>
      </w:r>
    </w:p>
    <w:p>
      <w:pPr>
        <w:pStyle w:val="64"/>
      </w:pPr>
      <w:r>
        <w:t xml:space="preserve">  ]</w:t>
      </w:r>
    </w:p>
    <w:p>
      <w:pPr>
        <w:pStyle w:val="64"/>
      </w:pPr>
      <w:r>
        <w:t>}</w:t>
      </w:r>
    </w:p>
    <w:p>
      <w:r>
        <w:t>The schema</w:t>
      </w:r>
      <w:r>
        <w:rPr>
          <w:lang w:eastAsia="zh-CN"/>
        </w:rPr>
        <w:t xml:space="preserve"> is based on JSON Schema Draft-07</w:t>
      </w:r>
      <w:r>
        <w:rPr>
          <w:rFonts w:eastAsia="等线"/>
        </w:rPr>
        <w:t> [</w:t>
      </w:r>
      <w:r>
        <w:rPr>
          <w:rFonts w:hint="eastAsia" w:eastAsia="等线"/>
          <w:lang w:eastAsia="zh-CN"/>
        </w:rPr>
        <w:t>8</w:t>
      </w:r>
      <w:r>
        <w:rPr>
          <w:rFonts w:eastAsia="等线"/>
        </w:rPr>
        <w:t>]</w:t>
      </w:r>
      <w:r>
        <w:rPr>
          <w:rFonts w:hint="eastAsia"/>
          <w:lang w:eastAsia="zh-CN"/>
        </w:rPr>
        <w:t xml:space="preserve">. For reducing the overhead of </w:t>
      </w:r>
      <w:r>
        <w:rPr>
          <w:lang w:eastAsia="zh-CN"/>
        </w:rPr>
        <w:t xml:space="preserve">the message used in </w:t>
      </w:r>
      <w:r>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t xml:space="preserve"> </w:t>
      </w:r>
      <w:r>
        <w:rPr>
          <w:rFonts w:hint="eastAsia"/>
          <w:lang w:eastAsia="zh-CN"/>
        </w:rPr>
        <w:t>T</w:t>
      </w:r>
      <w:r>
        <w:t>he JSON schema</w:t>
      </w:r>
      <w:r>
        <w:rPr>
          <w:rFonts w:hint="eastAsia"/>
          <w:lang w:eastAsia="zh-CN"/>
        </w:rPr>
        <w:t xml:space="preserve"> </w:t>
      </w:r>
      <w:r>
        <w:rPr>
          <w:lang w:eastAsia="zh-CN"/>
        </w:rPr>
        <w:t xml:space="preserve">of </w:t>
      </w:r>
      <w:r>
        <w:t xml:space="preserve">CoAP 2.01 (Created) response or CoAP 2.04 (Change) response for </w:t>
      </w:r>
      <w:r>
        <w:rPr>
          <w:rFonts w:hint="eastAsia"/>
          <w:lang w:eastAsia="zh-CN"/>
        </w:rPr>
        <w:t xml:space="preserve">the MSGin5G </w:t>
      </w:r>
      <w:r>
        <w:rPr>
          <w:lang w:eastAsia="zh-CN"/>
        </w:rPr>
        <w:t xml:space="preserve">registration </w:t>
      </w:r>
      <w:r>
        <w:t>is defined below:</w:t>
      </w:r>
    </w:p>
    <w:p>
      <w:pPr>
        <w:pStyle w:val="64"/>
      </w:pPr>
      <w:r>
        <w:t>{</w:t>
      </w:r>
    </w:p>
    <w:p>
      <w:pPr>
        <w:pStyle w:val="64"/>
      </w:pPr>
      <w:r>
        <w:t xml:space="preserve">  "$schema": "http://json-schema.org/draft-07/schema#",</w:t>
      </w:r>
    </w:p>
    <w:p>
      <w:pPr>
        <w:pStyle w:val="64"/>
      </w:pPr>
      <w:r>
        <w:t xml:space="preserve">  "$id": "http://www.3gpp.org/MSGin5G/MSGin5G_Registration_response_schema",</w:t>
      </w:r>
    </w:p>
    <w:p>
      <w:pPr>
        <w:pStyle w:val="64"/>
      </w:pPr>
      <w:r>
        <w:t xml:space="preserve">  "title": "MSGin5G Registration Response",</w:t>
      </w:r>
    </w:p>
    <w:p>
      <w:pPr>
        <w:pStyle w:val="64"/>
      </w:pPr>
      <w:r>
        <w:t xml:space="preserve">  "type": "object",</w:t>
      </w:r>
    </w:p>
    <w:p>
      <w:pPr>
        <w:pStyle w:val="64"/>
      </w:pPr>
      <w:r>
        <w:t xml:space="preserve">  "properties": {</w:t>
      </w:r>
    </w:p>
    <w:p>
      <w:pPr>
        <w:pStyle w:val="64"/>
      </w:pPr>
      <w:r>
        <w:rPr>
          <w:rFonts w:hint="eastAsia"/>
        </w:rPr>
        <w:t xml:space="preserve">    "ori</w:t>
      </w:r>
      <w:r>
        <w:t>Addr": {</w:t>
      </w:r>
    </w:p>
    <w:p>
      <w:pPr>
        <w:pStyle w:val="64"/>
      </w:pPr>
      <w:r>
        <w:t xml:space="preserve">      "type": "object",</w:t>
      </w:r>
    </w:p>
    <w:p>
      <w:pPr>
        <w:pStyle w:val="64"/>
      </w:pPr>
      <w:r>
        <w:t xml:space="preserve">      "properties": {</w:t>
      </w:r>
    </w:p>
    <w:p>
      <w:pPr>
        <w:pStyle w:val="64"/>
      </w:pPr>
      <w:r>
        <w:t xml:space="preserve">        "oriAddrType": {</w:t>
      </w:r>
    </w:p>
    <w:p>
      <w:pPr>
        <w:pStyle w:val="64"/>
      </w:pPr>
      <w:r>
        <w:t xml:space="preserve">          "enum": [</w:t>
      </w:r>
    </w:p>
    <w:p>
      <w:pPr>
        <w:pStyle w:val="64"/>
      </w:pPr>
      <w:r>
        <w:rPr>
          <w:rFonts w:hint="eastAsia"/>
        </w:rPr>
        <w:t xml:space="preserve">            "UE"</w:t>
      </w:r>
    </w:p>
    <w:p>
      <w:pPr>
        <w:pStyle w:val="64"/>
      </w:pPr>
      <w:r>
        <w:rPr>
          <w:rFonts w:hint="eastAsia"/>
        </w:rPr>
        <w:t xml:space="preserve">          ]</w:t>
      </w:r>
    </w:p>
    <w:p>
      <w:pPr>
        <w:pStyle w:val="64"/>
      </w:pPr>
      <w:r>
        <w:rPr>
          <w:rFonts w:hint="eastAsia"/>
        </w:rPr>
        <w:t xml:space="preserve">        },</w:t>
      </w:r>
    </w:p>
    <w:p>
      <w:pPr>
        <w:pStyle w:val="64"/>
      </w:pPr>
      <w:r>
        <w:rPr>
          <w:rFonts w:hint="eastAsia"/>
        </w:rPr>
        <w:t xml:space="preserve">        "addr": {</w:t>
      </w:r>
    </w:p>
    <w:p>
      <w:pPr>
        <w:pStyle w:val="64"/>
      </w:pPr>
      <w:r>
        <w:rPr>
          <w:rFonts w:hint="eastAsia"/>
        </w:rPr>
        <w:t xml:space="preserve">          "type": "string"</w:t>
      </w:r>
    </w:p>
    <w:p>
      <w:pPr>
        <w:pStyle w:val="64"/>
      </w:pPr>
      <w:r>
        <w:rPr>
          <w:rFonts w:hint="eastAsia"/>
        </w:rPr>
        <w:t xml:space="preserve">        }</w:t>
      </w:r>
    </w:p>
    <w:p>
      <w:pPr>
        <w:pStyle w:val="64"/>
      </w:pPr>
      <w:r>
        <w:rPr>
          <w:rFonts w:hint="eastAsia"/>
        </w:rPr>
        <w:t xml:space="preserve">      },</w:t>
      </w:r>
    </w:p>
    <w:p>
      <w:pPr>
        <w:pStyle w:val="64"/>
      </w:pPr>
      <w:r>
        <w:rPr>
          <w:rFonts w:hint="eastAsia"/>
        </w:rPr>
        <w:t xml:space="preserve">      "description": "Refer to Originating</w:t>
      </w:r>
      <w:r>
        <w:t xml:space="preserve"> UE Service ID"</w:t>
      </w:r>
    </w:p>
    <w:p>
      <w:pPr>
        <w:pStyle w:val="64"/>
      </w:pPr>
      <w:r>
        <w:t xml:space="preserve">    },</w:t>
      </w:r>
    </w:p>
    <w:p>
      <w:pPr>
        <w:pStyle w:val="64"/>
      </w:pPr>
      <w:r>
        <w:t xml:space="preserve">    "result": {</w:t>
      </w:r>
    </w:p>
    <w:p>
      <w:pPr>
        <w:pStyle w:val="64"/>
      </w:pPr>
      <w:r>
        <w:t xml:space="preserve">      "type": "boolean",</w:t>
      </w:r>
    </w:p>
    <w:p>
      <w:pPr>
        <w:pStyle w:val="64"/>
      </w:pPr>
      <w:r>
        <w:t xml:space="preserve">      "default": true,</w:t>
      </w:r>
    </w:p>
    <w:p>
      <w:pPr>
        <w:pStyle w:val="64"/>
      </w:pPr>
      <w:r>
        <w:t xml:space="preserve">      "description": "Refer to Registration result. The value true refers to succcess"</w:t>
      </w:r>
    </w:p>
    <w:p>
      <w:pPr>
        <w:pStyle w:val="64"/>
      </w:pPr>
      <w:r>
        <w:t xml:space="preserve">    }</w:t>
      </w:r>
    </w:p>
    <w:p>
      <w:pPr>
        <w:pStyle w:val="64"/>
      </w:pPr>
      <w:r>
        <w:t xml:space="preserve">  },</w:t>
      </w:r>
    </w:p>
    <w:p>
      <w:pPr>
        <w:pStyle w:val="64"/>
      </w:pPr>
      <w:r>
        <w:t xml:space="preserve">    "required": [</w:t>
      </w:r>
    </w:p>
    <w:p>
      <w:pPr>
        <w:pStyle w:val="64"/>
      </w:pPr>
      <w:r>
        <w:t xml:space="preserve">    "oriAddr",</w:t>
      </w:r>
    </w:p>
    <w:p>
      <w:pPr>
        <w:pStyle w:val="64"/>
      </w:pPr>
      <w:r>
        <w:t xml:space="preserve">    "result"</w:t>
      </w:r>
    </w:p>
    <w:p>
      <w:pPr>
        <w:pStyle w:val="64"/>
      </w:pPr>
      <w:r>
        <w:t xml:space="preserve">  ]</w:t>
      </w:r>
    </w:p>
    <w:p>
      <w:pPr>
        <w:pStyle w:val="64"/>
      </w:pPr>
      <w:r>
        <w:t>}</w:t>
      </w:r>
    </w:p>
    <w:p>
      <w:pPr>
        <w:pStyle w:val="64"/>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
    <w15:presenceInfo w15:providerId="None" w15:userId="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36A87"/>
    <w:rsid w:val="00941E30"/>
    <w:rsid w:val="009777D9"/>
    <w:rsid w:val="00991B88"/>
    <w:rsid w:val="009A5753"/>
    <w:rsid w:val="009A579D"/>
    <w:rsid w:val="009D7DD4"/>
    <w:rsid w:val="009E3297"/>
    <w:rsid w:val="009F734F"/>
    <w:rsid w:val="00A246B6"/>
    <w:rsid w:val="00A312E5"/>
    <w:rsid w:val="00A47E70"/>
    <w:rsid w:val="00A50CF0"/>
    <w:rsid w:val="00A71C31"/>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B09B7"/>
    <w:rsid w:val="00EE7D7C"/>
    <w:rsid w:val="00F25D98"/>
    <w:rsid w:val="00F300FB"/>
    <w:rsid w:val="00F61657"/>
    <w:rsid w:val="00F918C0"/>
    <w:rsid w:val="00FB6386"/>
    <w:rsid w:val="012D6067"/>
    <w:rsid w:val="015D4003"/>
    <w:rsid w:val="017C78FF"/>
    <w:rsid w:val="019306AF"/>
    <w:rsid w:val="01952A27"/>
    <w:rsid w:val="01E47541"/>
    <w:rsid w:val="01E91A72"/>
    <w:rsid w:val="023608BD"/>
    <w:rsid w:val="02386FBD"/>
    <w:rsid w:val="0253085C"/>
    <w:rsid w:val="02582765"/>
    <w:rsid w:val="02847F05"/>
    <w:rsid w:val="02A76356"/>
    <w:rsid w:val="02BB4BD6"/>
    <w:rsid w:val="02BE00CD"/>
    <w:rsid w:val="02C94FBA"/>
    <w:rsid w:val="03220FCE"/>
    <w:rsid w:val="03285A8E"/>
    <w:rsid w:val="033E611B"/>
    <w:rsid w:val="047B6F67"/>
    <w:rsid w:val="04B11640"/>
    <w:rsid w:val="04E43B30"/>
    <w:rsid w:val="04E77C76"/>
    <w:rsid w:val="050A3CDB"/>
    <w:rsid w:val="054A2297"/>
    <w:rsid w:val="054B3DBD"/>
    <w:rsid w:val="054D711D"/>
    <w:rsid w:val="055948DC"/>
    <w:rsid w:val="05602766"/>
    <w:rsid w:val="0597643A"/>
    <w:rsid w:val="05A36C30"/>
    <w:rsid w:val="05B23EBD"/>
    <w:rsid w:val="05F34B67"/>
    <w:rsid w:val="05FD1662"/>
    <w:rsid w:val="06492EA1"/>
    <w:rsid w:val="064C13E1"/>
    <w:rsid w:val="068E0B23"/>
    <w:rsid w:val="06A00E6B"/>
    <w:rsid w:val="06AE3A2F"/>
    <w:rsid w:val="06BB3878"/>
    <w:rsid w:val="06C510AB"/>
    <w:rsid w:val="06EC7E7C"/>
    <w:rsid w:val="06F56377"/>
    <w:rsid w:val="070934AC"/>
    <w:rsid w:val="070B3EDB"/>
    <w:rsid w:val="07184307"/>
    <w:rsid w:val="07231444"/>
    <w:rsid w:val="07347427"/>
    <w:rsid w:val="076A2DE6"/>
    <w:rsid w:val="07A2216A"/>
    <w:rsid w:val="07A27794"/>
    <w:rsid w:val="07A36518"/>
    <w:rsid w:val="07C37CC9"/>
    <w:rsid w:val="08646E7B"/>
    <w:rsid w:val="08770A71"/>
    <w:rsid w:val="087D297A"/>
    <w:rsid w:val="08AC67BC"/>
    <w:rsid w:val="08C060BD"/>
    <w:rsid w:val="091B245F"/>
    <w:rsid w:val="0921418B"/>
    <w:rsid w:val="096B0630"/>
    <w:rsid w:val="098224D5"/>
    <w:rsid w:val="099959A2"/>
    <w:rsid w:val="09FC09DC"/>
    <w:rsid w:val="0A5E152B"/>
    <w:rsid w:val="0A611896"/>
    <w:rsid w:val="0AB944A3"/>
    <w:rsid w:val="0AC018B0"/>
    <w:rsid w:val="0AEF497D"/>
    <w:rsid w:val="0B143539"/>
    <w:rsid w:val="0B1A7BFC"/>
    <w:rsid w:val="0B275001"/>
    <w:rsid w:val="0B6920C9"/>
    <w:rsid w:val="0BC86B54"/>
    <w:rsid w:val="0BE13037"/>
    <w:rsid w:val="0C000A19"/>
    <w:rsid w:val="0C0D6BA4"/>
    <w:rsid w:val="0C45323A"/>
    <w:rsid w:val="0C617C97"/>
    <w:rsid w:val="0C640AB9"/>
    <w:rsid w:val="0C6612EE"/>
    <w:rsid w:val="0CC95508"/>
    <w:rsid w:val="0CE408A9"/>
    <w:rsid w:val="0D4C0D1D"/>
    <w:rsid w:val="0D5C13CB"/>
    <w:rsid w:val="0D8255F2"/>
    <w:rsid w:val="0D8F1A4E"/>
    <w:rsid w:val="0D914F51"/>
    <w:rsid w:val="0DB24920"/>
    <w:rsid w:val="0DB51C6D"/>
    <w:rsid w:val="0DB575C3"/>
    <w:rsid w:val="0DCC3FDA"/>
    <w:rsid w:val="0DDB0CEE"/>
    <w:rsid w:val="0E1F78CF"/>
    <w:rsid w:val="0E51655E"/>
    <w:rsid w:val="0E7A1918"/>
    <w:rsid w:val="0EDF3BC8"/>
    <w:rsid w:val="0EE20797"/>
    <w:rsid w:val="0F5421B3"/>
    <w:rsid w:val="0FA91612"/>
    <w:rsid w:val="0FAA433E"/>
    <w:rsid w:val="0FAD26CA"/>
    <w:rsid w:val="0FF074B8"/>
    <w:rsid w:val="100C6013"/>
    <w:rsid w:val="101B45FA"/>
    <w:rsid w:val="10AB6468"/>
    <w:rsid w:val="10ED4953"/>
    <w:rsid w:val="10F11403"/>
    <w:rsid w:val="10FE556A"/>
    <w:rsid w:val="11457119"/>
    <w:rsid w:val="11671D91"/>
    <w:rsid w:val="11755B31"/>
    <w:rsid w:val="11CE72EC"/>
    <w:rsid w:val="11D93657"/>
    <w:rsid w:val="11F72E11"/>
    <w:rsid w:val="122D6FB1"/>
    <w:rsid w:val="12432864"/>
    <w:rsid w:val="1258708D"/>
    <w:rsid w:val="12960976"/>
    <w:rsid w:val="1299085F"/>
    <w:rsid w:val="12DC417E"/>
    <w:rsid w:val="130B6971"/>
    <w:rsid w:val="13121EAF"/>
    <w:rsid w:val="132C5202"/>
    <w:rsid w:val="136278DA"/>
    <w:rsid w:val="13656549"/>
    <w:rsid w:val="13864617"/>
    <w:rsid w:val="155F07A2"/>
    <w:rsid w:val="1570234F"/>
    <w:rsid w:val="157F7C03"/>
    <w:rsid w:val="15B029A2"/>
    <w:rsid w:val="16574435"/>
    <w:rsid w:val="165F0623"/>
    <w:rsid w:val="16670A82"/>
    <w:rsid w:val="16822CFB"/>
    <w:rsid w:val="16C50312"/>
    <w:rsid w:val="17050AB8"/>
    <w:rsid w:val="17224E02"/>
    <w:rsid w:val="174103C0"/>
    <w:rsid w:val="174F38B5"/>
    <w:rsid w:val="17525D41"/>
    <w:rsid w:val="175E7444"/>
    <w:rsid w:val="17C563A4"/>
    <w:rsid w:val="181F3F70"/>
    <w:rsid w:val="18A26578"/>
    <w:rsid w:val="18DC5717"/>
    <w:rsid w:val="18E21560"/>
    <w:rsid w:val="18ED3174"/>
    <w:rsid w:val="18F9193B"/>
    <w:rsid w:val="192A0444"/>
    <w:rsid w:val="194876F6"/>
    <w:rsid w:val="198B60BC"/>
    <w:rsid w:val="19997230"/>
    <w:rsid w:val="19A47D50"/>
    <w:rsid w:val="19BD1279"/>
    <w:rsid w:val="19EB0EFE"/>
    <w:rsid w:val="19FA1EC5"/>
    <w:rsid w:val="1A3E5E81"/>
    <w:rsid w:val="1A831941"/>
    <w:rsid w:val="1AA444A5"/>
    <w:rsid w:val="1AB87E61"/>
    <w:rsid w:val="1ABA3F34"/>
    <w:rsid w:val="1ABC6868"/>
    <w:rsid w:val="1ACA688D"/>
    <w:rsid w:val="1AD2428E"/>
    <w:rsid w:val="1B02354F"/>
    <w:rsid w:val="1BA210E4"/>
    <w:rsid w:val="1BE201F0"/>
    <w:rsid w:val="1C0A0410"/>
    <w:rsid w:val="1C3A035E"/>
    <w:rsid w:val="1C642815"/>
    <w:rsid w:val="1C7723C1"/>
    <w:rsid w:val="1C820752"/>
    <w:rsid w:val="1CB959FC"/>
    <w:rsid w:val="1CCE20F2"/>
    <w:rsid w:val="1CD37257"/>
    <w:rsid w:val="1CDC7B67"/>
    <w:rsid w:val="1CF63F94"/>
    <w:rsid w:val="1D3D6906"/>
    <w:rsid w:val="1D5D7BA3"/>
    <w:rsid w:val="1D6D7456"/>
    <w:rsid w:val="1D9706B9"/>
    <w:rsid w:val="1DBC66D4"/>
    <w:rsid w:val="1DC71B08"/>
    <w:rsid w:val="1E5879A4"/>
    <w:rsid w:val="1EB109E6"/>
    <w:rsid w:val="1F1B364D"/>
    <w:rsid w:val="1F46473D"/>
    <w:rsid w:val="1F8C56B3"/>
    <w:rsid w:val="1FB9701B"/>
    <w:rsid w:val="1FD81ACE"/>
    <w:rsid w:val="1FE20347"/>
    <w:rsid w:val="1FE37E5F"/>
    <w:rsid w:val="1FEA19E8"/>
    <w:rsid w:val="201F2242"/>
    <w:rsid w:val="2021759B"/>
    <w:rsid w:val="203F2777"/>
    <w:rsid w:val="204172FB"/>
    <w:rsid w:val="20695B39"/>
    <w:rsid w:val="208D60A0"/>
    <w:rsid w:val="20907867"/>
    <w:rsid w:val="20996A06"/>
    <w:rsid w:val="209E1FEA"/>
    <w:rsid w:val="211E4A2F"/>
    <w:rsid w:val="21606EA4"/>
    <w:rsid w:val="21921CC1"/>
    <w:rsid w:val="2197188D"/>
    <w:rsid w:val="2197217F"/>
    <w:rsid w:val="219F1597"/>
    <w:rsid w:val="21B84562"/>
    <w:rsid w:val="21C429D9"/>
    <w:rsid w:val="21F665C5"/>
    <w:rsid w:val="224F6F6A"/>
    <w:rsid w:val="225C7070"/>
    <w:rsid w:val="2263654E"/>
    <w:rsid w:val="227979B8"/>
    <w:rsid w:val="22FB0071"/>
    <w:rsid w:val="23131962"/>
    <w:rsid w:val="2313236D"/>
    <w:rsid w:val="23392D51"/>
    <w:rsid w:val="236D292E"/>
    <w:rsid w:val="23712E86"/>
    <w:rsid w:val="237932EB"/>
    <w:rsid w:val="23A11EFC"/>
    <w:rsid w:val="23BA4FAC"/>
    <w:rsid w:val="23DE31BB"/>
    <w:rsid w:val="243657BE"/>
    <w:rsid w:val="244C6D83"/>
    <w:rsid w:val="246B154C"/>
    <w:rsid w:val="246E4AA3"/>
    <w:rsid w:val="249D6F91"/>
    <w:rsid w:val="24BD3555"/>
    <w:rsid w:val="24C608B1"/>
    <w:rsid w:val="25424EE3"/>
    <w:rsid w:val="256B4972"/>
    <w:rsid w:val="256D157E"/>
    <w:rsid w:val="25A31EEB"/>
    <w:rsid w:val="25D4529B"/>
    <w:rsid w:val="25D64A9F"/>
    <w:rsid w:val="25E51934"/>
    <w:rsid w:val="260F2D06"/>
    <w:rsid w:val="261B54D5"/>
    <w:rsid w:val="26341DF0"/>
    <w:rsid w:val="263910FE"/>
    <w:rsid w:val="265B2167"/>
    <w:rsid w:val="266239EF"/>
    <w:rsid w:val="26803F4C"/>
    <w:rsid w:val="26854738"/>
    <w:rsid w:val="26A86FDC"/>
    <w:rsid w:val="26E8199D"/>
    <w:rsid w:val="271E4858"/>
    <w:rsid w:val="2758053D"/>
    <w:rsid w:val="278065DC"/>
    <w:rsid w:val="28237873"/>
    <w:rsid w:val="282923AB"/>
    <w:rsid w:val="283F692F"/>
    <w:rsid w:val="286D30A5"/>
    <w:rsid w:val="2891739A"/>
    <w:rsid w:val="28980B80"/>
    <w:rsid w:val="289A67C2"/>
    <w:rsid w:val="28A50FDD"/>
    <w:rsid w:val="28FE2C49"/>
    <w:rsid w:val="29053E59"/>
    <w:rsid w:val="290B3B64"/>
    <w:rsid w:val="29E25DC6"/>
    <w:rsid w:val="29F959EB"/>
    <w:rsid w:val="2A3E0B45"/>
    <w:rsid w:val="2A4125E3"/>
    <w:rsid w:val="2A4B224F"/>
    <w:rsid w:val="2AD41C26"/>
    <w:rsid w:val="2ADF6F62"/>
    <w:rsid w:val="2B033B6D"/>
    <w:rsid w:val="2B685200"/>
    <w:rsid w:val="2B957391"/>
    <w:rsid w:val="2BE914D0"/>
    <w:rsid w:val="2C201509"/>
    <w:rsid w:val="2C87189D"/>
    <w:rsid w:val="2CDC1560"/>
    <w:rsid w:val="2CF421F4"/>
    <w:rsid w:val="2D0852EE"/>
    <w:rsid w:val="2D3C4843"/>
    <w:rsid w:val="2D6F3D99"/>
    <w:rsid w:val="2DE40E05"/>
    <w:rsid w:val="2E245FC4"/>
    <w:rsid w:val="2E4D60BC"/>
    <w:rsid w:val="2E5D0999"/>
    <w:rsid w:val="2E835E5F"/>
    <w:rsid w:val="2ED66298"/>
    <w:rsid w:val="2EDF4333"/>
    <w:rsid w:val="2EE75AAB"/>
    <w:rsid w:val="2EFA5A9E"/>
    <w:rsid w:val="2EFB415A"/>
    <w:rsid w:val="2F1F5CDD"/>
    <w:rsid w:val="2F2B660F"/>
    <w:rsid w:val="2F5F48C4"/>
    <w:rsid w:val="2F6F2D6C"/>
    <w:rsid w:val="2F714E3B"/>
    <w:rsid w:val="2FCB0375"/>
    <w:rsid w:val="2FEF721C"/>
    <w:rsid w:val="300C3972"/>
    <w:rsid w:val="30245588"/>
    <w:rsid w:val="304475A4"/>
    <w:rsid w:val="30586CDF"/>
    <w:rsid w:val="3077476A"/>
    <w:rsid w:val="30867983"/>
    <w:rsid w:val="308F13B7"/>
    <w:rsid w:val="309532C1"/>
    <w:rsid w:val="30DD154B"/>
    <w:rsid w:val="30DD5CC6"/>
    <w:rsid w:val="31310F43"/>
    <w:rsid w:val="319251AD"/>
    <w:rsid w:val="31964D81"/>
    <w:rsid w:val="31B27E77"/>
    <w:rsid w:val="31E85A13"/>
    <w:rsid w:val="32437B04"/>
    <w:rsid w:val="32D21971"/>
    <w:rsid w:val="32FD5ECE"/>
    <w:rsid w:val="33162186"/>
    <w:rsid w:val="335508FC"/>
    <w:rsid w:val="33C33478"/>
    <w:rsid w:val="340D6A81"/>
    <w:rsid w:val="344731F5"/>
    <w:rsid w:val="34653188"/>
    <w:rsid w:val="34972D65"/>
    <w:rsid w:val="34995A5A"/>
    <w:rsid w:val="34A43DEB"/>
    <w:rsid w:val="34B7423F"/>
    <w:rsid w:val="35033E04"/>
    <w:rsid w:val="351F3619"/>
    <w:rsid w:val="35270B41"/>
    <w:rsid w:val="35AE4EB1"/>
    <w:rsid w:val="35C651C7"/>
    <w:rsid w:val="35CD7850"/>
    <w:rsid w:val="35F75996"/>
    <w:rsid w:val="36262C62"/>
    <w:rsid w:val="366B3C44"/>
    <w:rsid w:val="36800DF9"/>
    <w:rsid w:val="36A06FBD"/>
    <w:rsid w:val="370D2AA4"/>
    <w:rsid w:val="37334AEE"/>
    <w:rsid w:val="37521760"/>
    <w:rsid w:val="37C95891"/>
    <w:rsid w:val="37CE70F1"/>
    <w:rsid w:val="382A5FFD"/>
    <w:rsid w:val="39224840"/>
    <w:rsid w:val="39567A5F"/>
    <w:rsid w:val="399302D3"/>
    <w:rsid w:val="39B54300"/>
    <w:rsid w:val="39D733F3"/>
    <w:rsid w:val="39ED1C5D"/>
    <w:rsid w:val="39F96E2B"/>
    <w:rsid w:val="3A3D661B"/>
    <w:rsid w:val="3A623DB3"/>
    <w:rsid w:val="3A6B2869"/>
    <w:rsid w:val="3A7145BE"/>
    <w:rsid w:val="3A7F5161"/>
    <w:rsid w:val="3A973031"/>
    <w:rsid w:val="3AA32FAC"/>
    <w:rsid w:val="3AA8256C"/>
    <w:rsid w:val="3AEF66A6"/>
    <w:rsid w:val="3AF06211"/>
    <w:rsid w:val="3AFE1F63"/>
    <w:rsid w:val="3B0911E6"/>
    <w:rsid w:val="3B1D6AFA"/>
    <w:rsid w:val="3B612EFA"/>
    <w:rsid w:val="3B8E29B3"/>
    <w:rsid w:val="3C157F6F"/>
    <w:rsid w:val="3C1E1724"/>
    <w:rsid w:val="3C1F67B0"/>
    <w:rsid w:val="3C3155F3"/>
    <w:rsid w:val="3C39735A"/>
    <w:rsid w:val="3C48696E"/>
    <w:rsid w:val="3C674933"/>
    <w:rsid w:val="3CF01554"/>
    <w:rsid w:val="3D0D5ABA"/>
    <w:rsid w:val="3D3666D2"/>
    <w:rsid w:val="3D446913"/>
    <w:rsid w:val="3D4A4F44"/>
    <w:rsid w:val="3D7E7290"/>
    <w:rsid w:val="3DBB47AB"/>
    <w:rsid w:val="3DC3081B"/>
    <w:rsid w:val="3DF2528B"/>
    <w:rsid w:val="3DF707A6"/>
    <w:rsid w:val="3DF83061"/>
    <w:rsid w:val="3E452AB4"/>
    <w:rsid w:val="3E8911A8"/>
    <w:rsid w:val="3ED16400"/>
    <w:rsid w:val="3EF55AAE"/>
    <w:rsid w:val="3F13028A"/>
    <w:rsid w:val="3F4D55F2"/>
    <w:rsid w:val="3FF60EF9"/>
    <w:rsid w:val="403F37CA"/>
    <w:rsid w:val="404E6C62"/>
    <w:rsid w:val="405067A2"/>
    <w:rsid w:val="40B14030"/>
    <w:rsid w:val="40B64AA3"/>
    <w:rsid w:val="412209EA"/>
    <w:rsid w:val="412C1A84"/>
    <w:rsid w:val="41865EA4"/>
    <w:rsid w:val="41891B15"/>
    <w:rsid w:val="41B27457"/>
    <w:rsid w:val="42354D98"/>
    <w:rsid w:val="4250605B"/>
    <w:rsid w:val="42924546"/>
    <w:rsid w:val="42C201AE"/>
    <w:rsid w:val="42C4078B"/>
    <w:rsid w:val="42C5274B"/>
    <w:rsid w:val="42DA2B6F"/>
    <w:rsid w:val="42DC65B3"/>
    <w:rsid w:val="43043580"/>
    <w:rsid w:val="433A6518"/>
    <w:rsid w:val="43421339"/>
    <w:rsid w:val="43B43303"/>
    <w:rsid w:val="43D6135A"/>
    <w:rsid w:val="440D1834"/>
    <w:rsid w:val="44132101"/>
    <w:rsid w:val="445441A7"/>
    <w:rsid w:val="44775D9D"/>
    <w:rsid w:val="44857406"/>
    <w:rsid w:val="44970113"/>
    <w:rsid w:val="44996E9A"/>
    <w:rsid w:val="449D356C"/>
    <w:rsid w:val="44C91BE7"/>
    <w:rsid w:val="452D2EC2"/>
    <w:rsid w:val="45505F3E"/>
    <w:rsid w:val="455E4AA3"/>
    <w:rsid w:val="458F21AD"/>
    <w:rsid w:val="45965AB8"/>
    <w:rsid w:val="45BC0204"/>
    <w:rsid w:val="45CE1495"/>
    <w:rsid w:val="46244422"/>
    <w:rsid w:val="462D14AE"/>
    <w:rsid w:val="46576FD1"/>
    <w:rsid w:val="46691693"/>
    <w:rsid w:val="469446D6"/>
    <w:rsid w:val="46D97B70"/>
    <w:rsid w:val="46F11784"/>
    <w:rsid w:val="470E3181"/>
    <w:rsid w:val="471A5C34"/>
    <w:rsid w:val="473A7D6B"/>
    <w:rsid w:val="47BA1F3A"/>
    <w:rsid w:val="481848DE"/>
    <w:rsid w:val="48435D7F"/>
    <w:rsid w:val="48791CD6"/>
    <w:rsid w:val="487E54FB"/>
    <w:rsid w:val="488B4811"/>
    <w:rsid w:val="48E219D9"/>
    <w:rsid w:val="493115DE"/>
    <w:rsid w:val="49671F09"/>
    <w:rsid w:val="497E6723"/>
    <w:rsid w:val="49DB52F4"/>
    <w:rsid w:val="4A0B55C2"/>
    <w:rsid w:val="4A323C48"/>
    <w:rsid w:val="4A4E1F77"/>
    <w:rsid w:val="4ACB67C3"/>
    <w:rsid w:val="4AF54350"/>
    <w:rsid w:val="4B191D9D"/>
    <w:rsid w:val="4B455FCD"/>
    <w:rsid w:val="4BA53B29"/>
    <w:rsid w:val="4C563C9C"/>
    <w:rsid w:val="4C63021C"/>
    <w:rsid w:val="4C7724CE"/>
    <w:rsid w:val="4CBA7DEE"/>
    <w:rsid w:val="4CD92D21"/>
    <w:rsid w:val="4CDA0323"/>
    <w:rsid w:val="4CF54750"/>
    <w:rsid w:val="4D3010B2"/>
    <w:rsid w:val="4D5B1B76"/>
    <w:rsid w:val="4DBD2D8E"/>
    <w:rsid w:val="4DF60FEB"/>
    <w:rsid w:val="4E1E76B5"/>
    <w:rsid w:val="4E275FD8"/>
    <w:rsid w:val="4E2912CA"/>
    <w:rsid w:val="4E924154"/>
    <w:rsid w:val="4EA600E7"/>
    <w:rsid w:val="4EAF09C0"/>
    <w:rsid w:val="4ED85BEA"/>
    <w:rsid w:val="4EF77399"/>
    <w:rsid w:val="4F0D4DC0"/>
    <w:rsid w:val="4F61335F"/>
    <w:rsid w:val="4F671DF2"/>
    <w:rsid w:val="4F7A3AA3"/>
    <w:rsid w:val="4FBE2975"/>
    <w:rsid w:val="4FC52CF0"/>
    <w:rsid w:val="4FE1021B"/>
    <w:rsid w:val="4FEF21F7"/>
    <w:rsid w:val="501D4EA0"/>
    <w:rsid w:val="501E6F04"/>
    <w:rsid w:val="504925A2"/>
    <w:rsid w:val="50D3355D"/>
    <w:rsid w:val="50FB162C"/>
    <w:rsid w:val="510A36E8"/>
    <w:rsid w:val="5116059C"/>
    <w:rsid w:val="51393FAB"/>
    <w:rsid w:val="51593586"/>
    <w:rsid w:val="51675D42"/>
    <w:rsid w:val="517C6A60"/>
    <w:rsid w:val="517F0195"/>
    <w:rsid w:val="518A09D7"/>
    <w:rsid w:val="51986105"/>
    <w:rsid w:val="51C0562E"/>
    <w:rsid w:val="51D54C5F"/>
    <w:rsid w:val="52096D27"/>
    <w:rsid w:val="523B28A9"/>
    <w:rsid w:val="52431F19"/>
    <w:rsid w:val="5270163F"/>
    <w:rsid w:val="529453E1"/>
    <w:rsid w:val="529E721A"/>
    <w:rsid w:val="52A41123"/>
    <w:rsid w:val="52AA389A"/>
    <w:rsid w:val="530A2A1A"/>
    <w:rsid w:val="532D2E50"/>
    <w:rsid w:val="534B7333"/>
    <w:rsid w:val="534D411E"/>
    <w:rsid w:val="536E65EE"/>
    <w:rsid w:val="53A0483E"/>
    <w:rsid w:val="53AE47D7"/>
    <w:rsid w:val="53BE4C42"/>
    <w:rsid w:val="53D10891"/>
    <w:rsid w:val="53F312F3"/>
    <w:rsid w:val="540177F7"/>
    <w:rsid w:val="54776AA0"/>
    <w:rsid w:val="547A7A25"/>
    <w:rsid w:val="548825BE"/>
    <w:rsid w:val="54A21B57"/>
    <w:rsid w:val="54DF51CB"/>
    <w:rsid w:val="55024486"/>
    <w:rsid w:val="55030C7D"/>
    <w:rsid w:val="550848F7"/>
    <w:rsid w:val="55255832"/>
    <w:rsid w:val="5552550A"/>
    <w:rsid w:val="559D5F14"/>
    <w:rsid w:val="55A41A91"/>
    <w:rsid w:val="55B442A9"/>
    <w:rsid w:val="560F58BD"/>
    <w:rsid w:val="56333C37"/>
    <w:rsid w:val="56962BEC"/>
    <w:rsid w:val="56CA1873"/>
    <w:rsid w:val="572E1597"/>
    <w:rsid w:val="57401979"/>
    <w:rsid w:val="57470E3C"/>
    <w:rsid w:val="57501985"/>
    <w:rsid w:val="57792A10"/>
    <w:rsid w:val="57882F2B"/>
    <w:rsid w:val="57897A44"/>
    <w:rsid w:val="579A2394"/>
    <w:rsid w:val="57AA30DF"/>
    <w:rsid w:val="57EA416E"/>
    <w:rsid w:val="58232C7E"/>
    <w:rsid w:val="583D5ED1"/>
    <w:rsid w:val="58422359"/>
    <w:rsid w:val="584547E5"/>
    <w:rsid w:val="58633B93"/>
    <w:rsid w:val="58776FB0"/>
    <w:rsid w:val="58F2737A"/>
    <w:rsid w:val="592851C9"/>
    <w:rsid w:val="596B522B"/>
    <w:rsid w:val="59751451"/>
    <w:rsid w:val="5987301E"/>
    <w:rsid w:val="59A809A7"/>
    <w:rsid w:val="59EA734E"/>
    <w:rsid w:val="59F849B7"/>
    <w:rsid w:val="59F86E10"/>
    <w:rsid w:val="5ACD171A"/>
    <w:rsid w:val="5B0608E3"/>
    <w:rsid w:val="5B064E2B"/>
    <w:rsid w:val="5B086CFD"/>
    <w:rsid w:val="5B2C74DF"/>
    <w:rsid w:val="5B431034"/>
    <w:rsid w:val="5B4531A5"/>
    <w:rsid w:val="5B485966"/>
    <w:rsid w:val="5B8D1AC1"/>
    <w:rsid w:val="5B900847"/>
    <w:rsid w:val="5B96494F"/>
    <w:rsid w:val="5BEC315F"/>
    <w:rsid w:val="5C076AFA"/>
    <w:rsid w:val="5C3E01A0"/>
    <w:rsid w:val="5C417678"/>
    <w:rsid w:val="5C476580"/>
    <w:rsid w:val="5C4D0F2C"/>
    <w:rsid w:val="5C753FBD"/>
    <w:rsid w:val="5C875E4D"/>
    <w:rsid w:val="5D032927"/>
    <w:rsid w:val="5D156A11"/>
    <w:rsid w:val="5D1C12D3"/>
    <w:rsid w:val="5D562156"/>
    <w:rsid w:val="5DAB5FAE"/>
    <w:rsid w:val="5DB46EC8"/>
    <w:rsid w:val="5DF47CB1"/>
    <w:rsid w:val="5E061250"/>
    <w:rsid w:val="5EAD591B"/>
    <w:rsid w:val="5ECA2293"/>
    <w:rsid w:val="5F3D1DF0"/>
    <w:rsid w:val="5F4C12FC"/>
    <w:rsid w:val="5F7F325C"/>
    <w:rsid w:val="5FD63019"/>
    <w:rsid w:val="6048559E"/>
    <w:rsid w:val="606258D7"/>
    <w:rsid w:val="606F72DB"/>
    <w:rsid w:val="60725077"/>
    <w:rsid w:val="608E179D"/>
    <w:rsid w:val="60940746"/>
    <w:rsid w:val="609E56C2"/>
    <w:rsid w:val="60FE7F52"/>
    <w:rsid w:val="610F6C4A"/>
    <w:rsid w:val="615F23C1"/>
    <w:rsid w:val="616D1D6C"/>
    <w:rsid w:val="61785D1C"/>
    <w:rsid w:val="618D5457"/>
    <w:rsid w:val="61C72260"/>
    <w:rsid w:val="61CB69EC"/>
    <w:rsid w:val="61FE0AD0"/>
    <w:rsid w:val="622942A4"/>
    <w:rsid w:val="6259045D"/>
    <w:rsid w:val="62684C0E"/>
    <w:rsid w:val="627C7340"/>
    <w:rsid w:val="629F1A98"/>
    <w:rsid w:val="62BB00D3"/>
    <w:rsid w:val="62BB09C4"/>
    <w:rsid w:val="62C75F9B"/>
    <w:rsid w:val="62D83CB7"/>
    <w:rsid w:val="63364050"/>
    <w:rsid w:val="633E4FF6"/>
    <w:rsid w:val="6342251D"/>
    <w:rsid w:val="635525E5"/>
    <w:rsid w:val="638F37E5"/>
    <w:rsid w:val="63994D6C"/>
    <w:rsid w:val="63A20773"/>
    <w:rsid w:val="63A40BF1"/>
    <w:rsid w:val="63F1277E"/>
    <w:rsid w:val="641414C0"/>
    <w:rsid w:val="64760260"/>
    <w:rsid w:val="6483523B"/>
    <w:rsid w:val="648B1BBF"/>
    <w:rsid w:val="649E6018"/>
    <w:rsid w:val="64A23A1A"/>
    <w:rsid w:val="64D4195B"/>
    <w:rsid w:val="65167668"/>
    <w:rsid w:val="65262602"/>
    <w:rsid w:val="664C23E4"/>
    <w:rsid w:val="666973EC"/>
    <w:rsid w:val="66743CA2"/>
    <w:rsid w:val="66E2035A"/>
    <w:rsid w:val="6704643B"/>
    <w:rsid w:val="676B5274"/>
    <w:rsid w:val="67891DEC"/>
    <w:rsid w:val="67993512"/>
    <w:rsid w:val="67BD23E8"/>
    <w:rsid w:val="68385921"/>
    <w:rsid w:val="68420338"/>
    <w:rsid w:val="684D2E2F"/>
    <w:rsid w:val="686474C1"/>
    <w:rsid w:val="68BA0CEA"/>
    <w:rsid w:val="68CB587B"/>
    <w:rsid w:val="68F33DD3"/>
    <w:rsid w:val="68F75D33"/>
    <w:rsid w:val="690A4744"/>
    <w:rsid w:val="69111770"/>
    <w:rsid w:val="691C697F"/>
    <w:rsid w:val="69365CF7"/>
    <w:rsid w:val="694858BD"/>
    <w:rsid w:val="695B1CE7"/>
    <w:rsid w:val="69B45BF9"/>
    <w:rsid w:val="69E5189A"/>
    <w:rsid w:val="6A205888"/>
    <w:rsid w:val="6A231730"/>
    <w:rsid w:val="6A266C5C"/>
    <w:rsid w:val="6A667C1B"/>
    <w:rsid w:val="6A9A315F"/>
    <w:rsid w:val="6AB0124A"/>
    <w:rsid w:val="6ACE0489"/>
    <w:rsid w:val="6AD67B1A"/>
    <w:rsid w:val="6ADA5C8F"/>
    <w:rsid w:val="6B3421C2"/>
    <w:rsid w:val="6B351557"/>
    <w:rsid w:val="6BDF7C7B"/>
    <w:rsid w:val="6C2C1B05"/>
    <w:rsid w:val="6C622C5F"/>
    <w:rsid w:val="6C6D1AE3"/>
    <w:rsid w:val="6CC54282"/>
    <w:rsid w:val="6CD854A1"/>
    <w:rsid w:val="6D0D43BF"/>
    <w:rsid w:val="6D2E20A9"/>
    <w:rsid w:val="6D305B30"/>
    <w:rsid w:val="6D474B86"/>
    <w:rsid w:val="6D612359"/>
    <w:rsid w:val="6D8F37D3"/>
    <w:rsid w:val="6DD60816"/>
    <w:rsid w:val="6DE738C4"/>
    <w:rsid w:val="6DF22E51"/>
    <w:rsid w:val="6E0F771C"/>
    <w:rsid w:val="6E1533D8"/>
    <w:rsid w:val="6E2E3854"/>
    <w:rsid w:val="6E37546C"/>
    <w:rsid w:val="6E7F06E9"/>
    <w:rsid w:val="6E840699"/>
    <w:rsid w:val="6E981BFF"/>
    <w:rsid w:val="6EA44C0A"/>
    <w:rsid w:val="6EB227A9"/>
    <w:rsid w:val="6ED674E5"/>
    <w:rsid w:val="6EDA396D"/>
    <w:rsid w:val="6F1062ED"/>
    <w:rsid w:val="6F4F3751"/>
    <w:rsid w:val="6FD4570C"/>
    <w:rsid w:val="6FF96343"/>
    <w:rsid w:val="701C55CD"/>
    <w:rsid w:val="70302C20"/>
    <w:rsid w:val="70693B50"/>
    <w:rsid w:val="706B570A"/>
    <w:rsid w:val="70BF2889"/>
    <w:rsid w:val="71013F45"/>
    <w:rsid w:val="710A65C1"/>
    <w:rsid w:val="712A1F38"/>
    <w:rsid w:val="713A6AB1"/>
    <w:rsid w:val="713E3C66"/>
    <w:rsid w:val="71456549"/>
    <w:rsid w:val="714814E8"/>
    <w:rsid w:val="71600FFD"/>
    <w:rsid w:val="71847145"/>
    <w:rsid w:val="71A345DB"/>
    <w:rsid w:val="722C0861"/>
    <w:rsid w:val="723E7BC5"/>
    <w:rsid w:val="729C5939"/>
    <w:rsid w:val="72A72D20"/>
    <w:rsid w:val="72D75477"/>
    <w:rsid w:val="72EB6C7C"/>
    <w:rsid w:val="72FD3138"/>
    <w:rsid w:val="7317045F"/>
    <w:rsid w:val="73C72F80"/>
    <w:rsid w:val="743069AD"/>
    <w:rsid w:val="7454712B"/>
    <w:rsid w:val="746A5166"/>
    <w:rsid w:val="748D682E"/>
    <w:rsid w:val="748F004B"/>
    <w:rsid w:val="74CE1A6D"/>
    <w:rsid w:val="74EA6DBD"/>
    <w:rsid w:val="74EF21AA"/>
    <w:rsid w:val="75394390"/>
    <w:rsid w:val="755F077A"/>
    <w:rsid w:val="756103A4"/>
    <w:rsid w:val="75760330"/>
    <w:rsid w:val="75952EE8"/>
    <w:rsid w:val="75A27EA7"/>
    <w:rsid w:val="75A81BB4"/>
    <w:rsid w:val="75D254B9"/>
    <w:rsid w:val="75E050B5"/>
    <w:rsid w:val="763D100B"/>
    <w:rsid w:val="765F1837"/>
    <w:rsid w:val="76653591"/>
    <w:rsid w:val="76972FC0"/>
    <w:rsid w:val="769831DA"/>
    <w:rsid w:val="77037744"/>
    <w:rsid w:val="777B6C9D"/>
    <w:rsid w:val="77A05B14"/>
    <w:rsid w:val="77A727DC"/>
    <w:rsid w:val="77C80792"/>
    <w:rsid w:val="77DD5398"/>
    <w:rsid w:val="780E012B"/>
    <w:rsid w:val="78225FB4"/>
    <w:rsid w:val="78237BA7"/>
    <w:rsid w:val="78415F31"/>
    <w:rsid w:val="78525F75"/>
    <w:rsid w:val="785670FD"/>
    <w:rsid w:val="7888534D"/>
    <w:rsid w:val="78910E30"/>
    <w:rsid w:val="78AC523C"/>
    <w:rsid w:val="78D35046"/>
    <w:rsid w:val="78F84707"/>
    <w:rsid w:val="79061D36"/>
    <w:rsid w:val="79277EE5"/>
    <w:rsid w:val="79507A25"/>
    <w:rsid w:val="79764FD6"/>
    <w:rsid w:val="79A45231"/>
    <w:rsid w:val="79F26B1E"/>
    <w:rsid w:val="79FC110B"/>
    <w:rsid w:val="7A13262E"/>
    <w:rsid w:val="7A1F79AC"/>
    <w:rsid w:val="7A2218AB"/>
    <w:rsid w:val="7AA678C6"/>
    <w:rsid w:val="7AA95214"/>
    <w:rsid w:val="7AC73185"/>
    <w:rsid w:val="7ACC7013"/>
    <w:rsid w:val="7AD84B36"/>
    <w:rsid w:val="7AF41AC7"/>
    <w:rsid w:val="7B286B9A"/>
    <w:rsid w:val="7B5943F3"/>
    <w:rsid w:val="7B5C5A2D"/>
    <w:rsid w:val="7BE74F63"/>
    <w:rsid w:val="7C0E1EA2"/>
    <w:rsid w:val="7C523B48"/>
    <w:rsid w:val="7C5C5C93"/>
    <w:rsid w:val="7CB26E8E"/>
    <w:rsid w:val="7D020B4B"/>
    <w:rsid w:val="7D133243"/>
    <w:rsid w:val="7D140CC4"/>
    <w:rsid w:val="7D156746"/>
    <w:rsid w:val="7D2722F4"/>
    <w:rsid w:val="7D6464C5"/>
    <w:rsid w:val="7D683522"/>
    <w:rsid w:val="7D753CB0"/>
    <w:rsid w:val="7D7E6272"/>
    <w:rsid w:val="7D8C3E06"/>
    <w:rsid w:val="7D8E6922"/>
    <w:rsid w:val="7DBD3778"/>
    <w:rsid w:val="7DEA7A23"/>
    <w:rsid w:val="7DF13CFF"/>
    <w:rsid w:val="7E2272E3"/>
    <w:rsid w:val="7E282D5F"/>
    <w:rsid w:val="7E597CD7"/>
    <w:rsid w:val="7E95589A"/>
    <w:rsid w:val="7EB16117"/>
    <w:rsid w:val="7ECA09DC"/>
    <w:rsid w:val="7ECB2594"/>
    <w:rsid w:val="7F051474"/>
    <w:rsid w:val="7F304113"/>
    <w:rsid w:val="7FB35356"/>
    <w:rsid w:val="7FB65A15"/>
    <w:rsid w:val="7FBE21E3"/>
    <w:rsid w:val="7FF154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B1 Char"/>
    <w:link w:val="75"/>
    <w:qFormat/>
    <w:locked/>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300</Words>
  <Characters>1710</Characters>
  <Lines>14</Lines>
  <Paragraphs>4</Paragraphs>
  <TotalTime>0</TotalTime>
  <ScaleCrop>false</ScaleCrop>
  <LinksUpToDate>false</LinksUpToDate>
  <CharactersWithSpaces>2006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ly</cp:lastModifiedBy>
  <cp:lastPrinted>2411-12-31T00:00:00Z</cp:lastPrinted>
  <dcterms:modified xsi:type="dcterms:W3CDTF">2023-10-12T03:17:29Z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4557CFD496074DF8868B3309D241C894</vt:lpwstr>
  </property>
</Properties>
</file>